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Rubik" w:eastAsia="Times New Roman" w:hAnsi="Rubik" w:cs="Rubik"/>
          <w:b/>
          <w:bCs/>
          <w:noProof/>
          <w:color w:val="253B61"/>
          <w:kern w:val="28"/>
        </w:rPr>
        <w:id w:val="1734634417"/>
        <w:docPartObj>
          <w:docPartGallery w:val="Table of Contents"/>
          <w:docPartUnique/>
        </w:docPartObj>
      </w:sdtPr>
      <w:sdtContent>
        <w:p w14:paraId="3437C8D7" w14:textId="189D23DA" w:rsidR="00FF6A33" w:rsidRPr="00171158" w:rsidRDefault="00926B15" w:rsidP="00BF6D3F">
          <w:pPr>
            <w:rPr>
              <w:rFonts w:ascii="Rubik" w:hAnsi="Rubik" w:cs="Rubik"/>
              <w:color w:val="253B61"/>
            </w:rPr>
          </w:pPr>
          <w:r w:rsidRPr="00171158">
            <w:rPr>
              <w:rFonts w:ascii="Rubik" w:hAnsi="Rubik" w:cs="Rubik"/>
              <w:noProof/>
              <w:color w:val="253B61"/>
            </w:rPr>
            <mc:AlternateContent>
              <mc:Choice Requires="wps">
                <w:drawing>
                  <wp:anchor distT="0" distB="0" distL="114300" distR="114300" simplePos="0" relativeHeight="251658240" behindDoc="0" locked="0" layoutInCell="1" allowOverlap="1" wp14:anchorId="3B867D99" wp14:editId="1A54D038">
                    <wp:simplePos x="0" y="0"/>
                    <wp:positionH relativeFrom="margin">
                      <wp:align>left</wp:align>
                    </wp:positionH>
                    <wp:positionV relativeFrom="paragraph">
                      <wp:posOffset>-405765</wp:posOffset>
                    </wp:positionV>
                    <wp:extent cx="6235430" cy="3619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430" cy="3619500"/>
                            </a:xfrm>
                            <a:prstGeom prst="rect">
                              <a:avLst/>
                            </a:prstGeom>
                            <a:noFill/>
                            <a:ln w="6350">
                              <a:noFill/>
                            </a:ln>
                          </wps:spPr>
                          <wps:txbx>
                            <w:txbxContent>
                              <w:p w14:paraId="465C3D78" w14:textId="77777777" w:rsidR="00B64E79" w:rsidRPr="004A3741" w:rsidRDefault="00B64E79" w:rsidP="00BF6D3F">
                                <w:pPr>
                                  <w:rPr>
                                    <w:rFonts w:ascii="Rubik SemiBold" w:hAnsi="Rubik SemiBold" w:cs="Rubik SemiBold"/>
                                    <w:b/>
                                    <w:bCs/>
                                    <w:color w:val="253B61"/>
                                    <w:spacing w:val="20"/>
                                    <w:sz w:val="40"/>
                                    <w:szCs w:val="40"/>
                                  </w:rPr>
                                </w:pPr>
                                <w:r w:rsidRPr="004A3741">
                                  <w:rPr>
                                    <w:rFonts w:ascii="Rubik SemiBold" w:hAnsi="Rubik SemiBold" w:cs="Rubik SemiBold"/>
                                    <w:b/>
                                    <w:bCs/>
                                    <w:color w:val="253B61"/>
                                    <w:spacing w:val="20"/>
                                    <w:sz w:val="40"/>
                                    <w:szCs w:val="40"/>
                                  </w:rPr>
                                  <w:t xml:space="preserve">Freedom of Information Act 2000 </w:t>
                                </w:r>
                              </w:p>
                              <w:p w14:paraId="60B1D908" w14:textId="77777777" w:rsidR="00B64E79" w:rsidRPr="004A3741" w:rsidRDefault="00B64E79" w:rsidP="00BF6D3F">
                                <w:pPr>
                                  <w:rPr>
                                    <w:rFonts w:ascii="Rubik SemiBold" w:hAnsi="Rubik SemiBold" w:cs="Rubik SemiBold"/>
                                    <w:b/>
                                    <w:bCs/>
                                    <w:color w:val="253B61"/>
                                    <w:spacing w:val="20"/>
                                    <w:sz w:val="40"/>
                                    <w:szCs w:val="40"/>
                                  </w:rPr>
                                </w:pPr>
                                <w:r w:rsidRPr="004A3741">
                                  <w:rPr>
                                    <w:rFonts w:ascii="Rubik SemiBold" w:hAnsi="Rubik SemiBold" w:cs="Rubik SemiBold"/>
                                    <w:b/>
                                    <w:bCs/>
                                    <w:color w:val="253B61"/>
                                    <w:spacing w:val="20"/>
                                    <w:sz w:val="40"/>
                                    <w:szCs w:val="40"/>
                                  </w:rPr>
                                  <w:t xml:space="preserve">and </w:t>
                                </w:r>
                              </w:p>
                              <w:p w14:paraId="107E85D0" w14:textId="5BAEEC73" w:rsidR="00C3255B" w:rsidRPr="004A3741" w:rsidRDefault="00B64E79" w:rsidP="00BF6D3F">
                                <w:pPr>
                                  <w:rPr>
                                    <w:rFonts w:ascii="Rubik SemiBold" w:hAnsi="Rubik SemiBold" w:cs="Rubik SemiBold"/>
                                    <w:b/>
                                    <w:bCs/>
                                    <w:color w:val="253B61"/>
                                    <w:spacing w:val="20"/>
                                    <w:sz w:val="40"/>
                                    <w:szCs w:val="40"/>
                                  </w:rPr>
                                </w:pPr>
                                <w:r w:rsidRPr="004A3741">
                                  <w:rPr>
                                    <w:rFonts w:ascii="Rubik SemiBold" w:hAnsi="Rubik SemiBold" w:cs="Rubik SemiBold"/>
                                    <w:b/>
                                    <w:bCs/>
                                    <w:color w:val="253B61"/>
                                    <w:spacing w:val="20"/>
                                    <w:sz w:val="40"/>
                                    <w:szCs w:val="40"/>
                                  </w:rPr>
                                  <w:t>Environmental Information Regulation Act 2004</w:t>
                                </w:r>
                                <w:r w:rsidR="001E07EF" w:rsidRPr="004A3741">
                                  <w:rPr>
                                    <w:rFonts w:ascii="Rubik SemiBold" w:hAnsi="Rubik SemiBold" w:cs="Rubik SemiBold"/>
                                    <w:b/>
                                    <w:bCs/>
                                    <w:color w:val="253B61"/>
                                    <w:spacing w:val="20"/>
                                    <w:sz w:val="40"/>
                                    <w:szCs w:val="40"/>
                                  </w:rPr>
                                  <w:t xml:space="preserve"> P</w:t>
                                </w:r>
                                <w:r w:rsidR="00FF6A33" w:rsidRPr="004A3741">
                                  <w:rPr>
                                    <w:rFonts w:ascii="Rubik SemiBold" w:hAnsi="Rubik SemiBold" w:cs="Rubik SemiBold"/>
                                    <w:b/>
                                    <w:bCs/>
                                    <w:color w:val="253B61"/>
                                    <w:spacing w:val="20"/>
                                    <w:sz w:val="40"/>
                                    <w:szCs w:val="40"/>
                                  </w:rPr>
                                  <w:t>rocedure</w:t>
                                </w:r>
                              </w:p>
                              <w:p w14:paraId="0204E683" w14:textId="60EA3D81" w:rsidR="001E07EF" w:rsidRPr="00BF6D3F" w:rsidRDefault="001E07EF" w:rsidP="00BF6D3F">
                                <w:pPr>
                                  <w:rPr>
                                    <w:rFonts w:ascii="Rubik SemiBold" w:hAnsi="Rubik SemiBold" w:cs="Rubik SemiBold"/>
                                    <w:color w:val="0FA3CA"/>
                                    <w:spacing w:val="20"/>
                                    <w:sz w:val="28"/>
                                    <w:szCs w:val="28"/>
                                  </w:rPr>
                                </w:pPr>
                                <w:r w:rsidRPr="00BF6D3F">
                                  <w:rPr>
                                    <w:rFonts w:ascii="Rubik SemiBold" w:hAnsi="Rubik SemiBold" w:cs="Rubik SemiBold"/>
                                    <w:color w:val="0FA3CA"/>
                                    <w:spacing w:val="20"/>
                                    <w:sz w:val="28"/>
                                    <w:szCs w:val="28"/>
                                  </w:rPr>
                                  <w:t xml:space="preserve">Approved by: </w:t>
                                </w:r>
                                <w:r w:rsidR="00E03667">
                                  <w:rPr>
                                    <w:rFonts w:ascii="Rubik SemiBold" w:hAnsi="Rubik SemiBold" w:cs="Rubik SemiBold"/>
                                    <w:color w:val="0FA3CA"/>
                                    <w:spacing w:val="20"/>
                                    <w:sz w:val="28"/>
                                    <w:szCs w:val="28"/>
                                  </w:rPr>
                                  <w:t>Ceri Ralph</w:t>
                                </w:r>
                                <w:r w:rsidR="00E03667">
                                  <w:rPr>
                                    <w:rFonts w:ascii="Rubik SemiBold" w:hAnsi="Rubik SemiBold" w:cs="Rubik SemiBold"/>
                                    <w:color w:val="0FA3CA"/>
                                    <w:spacing w:val="20"/>
                                    <w:sz w:val="28"/>
                                    <w:szCs w:val="28"/>
                                  </w:rPr>
                                  <w:tab/>
                                </w:r>
                              </w:p>
                              <w:p w14:paraId="110BEA0A" w14:textId="09704BA6" w:rsidR="001E07EF" w:rsidRPr="00BF6D3F" w:rsidRDefault="001E07EF" w:rsidP="00BF6D3F">
                                <w:pPr>
                                  <w:rPr>
                                    <w:rFonts w:ascii="Rubik SemiBold" w:hAnsi="Rubik SemiBold" w:cs="Rubik SemiBold"/>
                                    <w:color w:val="0FA3CA"/>
                                    <w:spacing w:val="20"/>
                                    <w:sz w:val="28"/>
                                    <w:szCs w:val="28"/>
                                  </w:rPr>
                                </w:pPr>
                                <w:r w:rsidRPr="00BF6D3F">
                                  <w:rPr>
                                    <w:rFonts w:ascii="Rubik SemiBold" w:hAnsi="Rubik SemiBold" w:cs="Rubik SemiBold"/>
                                    <w:color w:val="0FA3CA"/>
                                    <w:spacing w:val="20"/>
                                    <w:sz w:val="28"/>
                                    <w:szCs w:val="28"/>
                                  </w:rPr>
                                  <w:t xml:space="preserve">Version: </w:t>
                                </w:r>
                                <w:r w:rsidR="00E03667">
                                  <w:rPr>
                                    <w:rFonts w:ascii="Rubik SemiBold" w:hAnsi="Rubik SemiBold" w:cs="Rubik SemiBold"/>
                                    <w:color w:val="0FA3CA"/>
                                    <w:spacing w:val="20"/>
                                    <w:sz w:val="28"/>
                                    <w:szCs w:val="28"/>
                                  </w:rPr>
                                  <w:t>1.3</w:t>
                                </w:r>
                              </w:p>
                              <w:p w14:paraId="111E3453" w14:textId="38A19023" w:rsidR="001E07EF" w:rsidRPr="00BF6D3F" w:rsidRDefault="001E07EF" w:rsidP="00BF6D3F">
                                <w:pPr>
                                  <w:rPr>
                                    <w:rFonts w:ascii="Rubik SemiBold" w:hAnsi="Rubik SemiBold" w:cs="Rubik SemiBold"/>
                                    <w:color w:val="0FA3CA"/>
                                    <w:spacing w:val="20"/>
                                    <w:sz w:val="28"/>
                                    <w:szCs w:val="28"/>
                                  </w:rPr>
                                </w:pPr>
                                <w:r w:rsidRPr="00BF6D3F">
                                  <w:rPr>
                                    <w:rFonts w:ascii="Rubik SemiBold" w:hAnsi="Rubik SemiBold" w:cs="Rubik SemiBold"/>
                                    <w:color w:val="0FA3CA"/>
                                    <w:spacing w:val="20"/>
                                    <w:sz w:val="28"/>
                                    <w:szCs w:val="28"/>
                                  </w:rPr>
                                  <w:t>Last Updated:</w:t>
                                </w:r>
                                <w:r w:rsidR="00E03667">
                                  <w:rPr>
                                    <w:rFonts w:ascii="Rubik SemiBold" w:hAnsi="Rubik SemiBold" w:cs="Rubik SemiBold"/>
                                    <w:color w:val="0FA3CA"/>
                                    <w:spacing w:val="20"/>
                                    <w:sz w:val="28"/>
                                    <w:szCs w:val="28"/>
                                  </w:rPr>
                                  <w:t xml:space="preserve"> February 2026</w:t>
                                </w:r>
                                <w:r w:rsidR="00E03667">
                                  <w:rPr>
                                    <w:rFonts w:ascii="Rubik SemiBold" w:hAnsi="Rubik SemiBold" w:cs="Rubik SemiBold"/>
                                    <w:color w:val="0FA3CA"/>
                                    <w:spacing w:val="20"/>
                                    <w:sz w:val="28"/>
                                    <w:szCs w:val="28"/>
                                  </w:rPr>
                                  <w:tab/>
                                </w:r>
                              </w:p>
                              <w:p w14:paraId="60E02DDD" w14:textId="2602883A" w:rsidR="00C3255B" w:rsidRPr="00BF6D3F" w:rsidRDefault="001E07EF" w:rsidP="00BF6D3F">
                                <w:pPr>
                                  <w:rPr>
                                    <w:rFonts w:ascii="Rubik SemiBold" w:hAnsi="Rubik SemiBold" w:cs="Rubik SemiBold"/>
                                    <w:color w:val="0FA3CA"/>
                                    <w:spacing w:val="20"/>
                                    <w:sz w:val="28"/>
                                    <w:szCs w:val="28"/>
                                  </w:rPr>
                                </w:pPr>
                                <w:r w:rsidRPr="00BF6D3F">
                                  <w:rPr>
                                    <w:rFonts w:ascii="Rubik SemiBold" w:hAnsi="Rubik SemiBold" w:cs="Rubik SemiBold"/>
                                    <w:color w:val="0FA3CA"/>
                                    <w:spacing w:val="20"/>
                                    <w:sz w:val="28"/>
                                    <w:szCs w:val="28"/>
                                  </w:rPr>
                                  <w:t xml:space="preserve">Review date: </w:t>
                                </w:r>
                                <w:r w:rsidR="00E03667">
                                  <w:rPr>
                                    <w:rFonts w:ascii="Rubik SemiBold" w:hAnsi="Rubik SemiBold" w:cs="Rubik SemiBold"/>
                                    <w:color w:val="0FA3CA"/>
                                    <w:spacing w:val="20"/>
                                    <w:sz w:val="28"/>
                                    <w:szCs w:val="28"/>
                                  </w:rPr>
                                  <w:t>February 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67D99" id="_x0000_t202" coordsize="21600,21600" o:spt="202" path="m,l,21600r21600,l21600,xe">
                    <v:stroke joinstyle="miter"/>
                    <v:path gradientshapeok="t" o:connecttype="rect"/>
                  </v:shapetype>
                  <v:shape id="Text Box 2" o:spid="_x0000_s1026" type="#_x0000_t202" style="position:absolute;margin-left:0;margin-top:-31.95pt;width:491pt;height:2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" filled="f" stroked="f" strokeweight=".5pt">
                    <v:textbox>
                      <w:txbxContent>
                        <w:p w14:paraId="465C3D78" w14:textId="77777777" w:rsidR="00B64E79" w:rsidRPr="004A3741" w:rsidRDefault="00B64E79" w:rsidP="00BF6D3F">
                          <w:pPr>
                            <w:rPr>
                              <w:rFonts w:ascii="Rubik SemiBold" w:hAnsi="Rubik SemiBold" w:cs="Rubik SemiBold"/>
                              <w:b/>
                              <w:bCs/>
                              <w:color w:val="253B61"/>
                              <w:spacing w:val="20"/>
                              <w:sz w:val="40"/>
                              <w:szCs w:val="40"/>
                            </w:rPr>
                          </w:pPr>
                          <w:r w:rsidRPr="004A3741">
                            <w:rPr>
                              <w:rFonts w:ascii="Rubik SemiBold" w:hAnsi="Rubik SemiBold" w:cs="Rubik SemiBold"/>
                              <w:b/>
                              <w:bCs/>
                              <w:color w:val="253B61"/>
                              <w:spacing w:val="20"/>
                              <w:sz w:val="40"/>
                              <w:szCs w:val="40"/>
                            </w:rPr>
                            <w:t xml:space="preserve">Freedom of Information Act 2000 </w:t>
                          </w:r>
                        </w:p>
                        <w:p w14:paraId="60B1D908" w14:textId="77777777" w:rsidR="00B64E79" w:rsidRPr="004A3741" w:rsidRDefault="00B64E79" w:rsidP="00BF6D3F">
                          <w:pPr>
                            <w:rPr>
                              <w:rFonts w:ascii="Rubik SemiBold" w:hAnsi="Rubik SemiBold" w:cs="Rubik SemiBold"/>
                              <w:b/>
                              <w:bCs/>
                              <w:color w:val="253B61"/>
                              <w:spacing w:val="20"/>
                              <w:sz w:val="40"/>
                              <w:szCs w:val="40"/>
                            </w:rPr>
                          </w:pPr>
                          <w:r w:rsidRPr="004A3741">
                            <w:rPr>
                              <w:rFonts w:ascii="Rubik SemiBold" w:hAnsi="Rubik SemiBold" w:cs="Rubik SemiBold"/>
                              <w:b/>
                              <w:bCs/>
                              <w:color w:val="253B61"/>
                              <w:spacing w:val="20"/>
                              <w:sz w:val="40"/>
                              <w:szCs w:val="40"/>
                            </w:rPr>
                            <w:t xml:space="preserve">and </w:t>
                          </w:r>
                        </w:p>
                        <w:p w14:paraId="107E85D0" w14:textId="5BAEEC73" w:rsidR="00C3255B" w:rsidRPr="004A3741" w:rsidRDefault="00B64E79" w:rsidP="00BF6D3F">
                          <w:pPr>
                            <w:rPr>
                              <w:rFonts w:ascii="Rubik SemiBold" w:hAnsi="Rubik SemiBold" w:cs="Rubik SemiBold"/>
                              <w:b/>
                              <w:bCs/>
                              <w:color w:val="253B61"/>
                              <w:spacing w:val="20"/>
                              <w:sz w:val="40"/>
                              <w:szCs w:val="40"/>
                            </w:rPr>
                          </w:pPr>
                          <w:r w:rsidRPr="004A3741">
                            <w:rPr>
                              <w:rFonts w:ascii="Rubik SemiBold" w:hAnsi="Rubik SemiBold" w:cs="Rubik SemiBold"/>
                              <w:b/>
                              <w:bCs/>
                              <w:color w:val="253B61"/>
                              <w:spacing w:val="20"/>
                              <w:sz w:val="40"/>
                              <w:szCs w:val="40"/>
                            </w:rPr>
                            <w:t>Environmental Information Regulation Act 2004</w:t>
                          </w:r>
                          <w:r w:rsidR="001E07EF" w:rsidRPr="004A3741">
                            <w:rPr>
                              <w:rFonts w:ascii="Rubik SemiBold" w:hAnsi="Rubik SemiBold" w:cs="Rubik SemiBold"/>
                              <w:b/>
                              <w:bCs/>
                              <w:color w:val="253B61"/>
                              <w:spacing w:val="20"/>
                              <w:sz w:val="40"/>
                              <w:szCs w:val="40"/>
                            </w:rPr>
                            <w:t xml:space="preserve"> P</w:t>
                          </w:r>
                          <w:r w:rsidR="00FF6A33" w:rsidRPr="004A3741">
                            <w:rPr>
                              <w:rFonts w:ascii="Rubik SemiBold" w:hAnsi="Rubik SemiBold" w:cs="Rubik SemiBold"/>
                              <w:b/>
                              <w:bCs/>
                              <w:color w:val="253B61"/>
                              <w:spacing w:val="20"/>
                              <w:sz w:val="40"/>
                              <w:szCs w:val="40"/>
                            </w:rPr>
                            <w:t>rocedure</w:t>
                          </w:r>
                        </w:p>
                        <w:p w14:paraId="0204E683" w14:textId="60EA3D81" w:rsidR="001E07EF" w:rsidRPr="00BF6D3F" w:rsidRDefault="001E07EF" w:rsidP="00BF6D3F">
                          <w:pPr>
                            <w:rPr>
                              <w:rFonts w:ascii="Rubik SemiBold" w:hAnsi="Rubik SemiBold" w:cs="Rubik SemiBold"/>
                              <w:color w:val="0FA3CA"/>
                              <w:spacing w:val="20"/>
                              <w:sz w:val="28"/>
                              <w:szCs w:val="28"/>
                            </w:rPr>
                          </w:pPr>
                          <w:r w:rsidRPr="00BF6D3F">
                            <w:rPr>
                              <w:rFonts w:ascii="Rubik SemiBold" w:hAnsi="Rubik SemiBold" w:cs="Rubik SemiBold"/>
                              <w:color w:val="0FA3CA"/>
                              <w:spacing w:val="20"/>
                              <w:sz w:val="28"/>
                              <w:szCs w:val="28"/>
                            </w:rPr>
                            <w:t xml:space="preserve">Approved by: </w:t>
                          </w:r>
                          <w:r w:rsidR="00E03667">
                            <w:rPr>
                              <w:rFonts w:ascii="Rubik SemiBold" w:hAnsi="Rubik SemiBold" w:cs="Rubik SemiBold"/>
                              <w:color w:val="0FA3CA"/>
                              <w:spacing w:val="20"/>
                              <w:sz w:val="28"/>
                              <w:szCs w:val="28"/>
                            </w:rPr>
                            <w:t>Ceri Ralph</w:t>
                          </w:r>
                          <w:r w:rsidR="00E03667">
                            <w:rPr>
                              <w:rFonts w:ascii="Rubik SemiBold" w:hAnsi="Rubik SemiBold" w:cs="Rubik SemiBold"/>
                              <w:color w:val="0FA3CA"/>
                              <w:spacing w:val="20"/>
                              <w:sz w:val="28"/>
                              <w:szCs w:val="28"/>
                            </w:rPr>
                            <w:tab/>
                          </w:r>
                        </w:p>
                        <w:p w14:paraId="110BEA0A" w14:textId="09704BA6" w:rsidR="001E07EF" w:rsidRPr="00BF6D3F" w:rsidRDefault="001E07EF" w:rsidP="00BF6D3F">
                          <w:pPr>
                            <w:rPr>
                              <w:rFonts w:ascii="Rubik SemiBold" w:hAnsi="Rubik SemiBold" w:cs="Rubik SemiBold"/>
                              <w:color w:val="0FA3CA"/>
                              <w:spacing w:val="20"/>
                              <w:sz w:val="28"/>
                              <w:szCs w:val="28"/>
                            </w:rPr>
                          </w:pPr>
                          <w:r w:rsidRPr="00BF6D3F">
                            <w:rPr>
                              <w:rFonts w:ascii="Rubik SemiBold" w:hAnsi="Rubik SemiBold" w:cs="Rubik SemiBold"/>
                              <w:color w:val="0FA3CA"/>
                              <w:spacing w:val="20"/>
                              <w:sz w:val="28"/>
                              <w:szCs w:val="28"/>
                            </w:rPr>
                            <w:t xml:space="preserve">Version: </w:t>
                          </w:r>
                          <w:r w:rsidR="00E03667">
                            <w:rPr>
                              <w:rFonts w:ascii="Rubik SemiBold" w:hAnsi="Rubik SemiBold" w:cs="Rubik SemiBold"/>
                              <w:color w:val="0FA3CA"/>
                              <w:spacing w:val="20"/>
                              <w:sz w:val="28"/>
                              <w:szCs w:val="28"/>
                            </w:rPr>
                            <w:t>1.3</w:t>
                          </w:r>
                        </w:p>
                        <w:p w14:paraId="111E3453" w14:textId="38A19023" w:rsidR="001E07EF" w:rsidRPr="00BF6D3F" w:rsidRDefault="001E07EF" w:rsidP="00BF6D3F">
                          <w:pPr>
                            <w:rPr>
                              <w:rFonts w:ascii="Rubik SemiBold" w:hAnsi="Rubik SemiBold" w:cs="Rubik SemiBold"/>
                              <w:color w:val="0FA3CA"/>
                              <w:spacing w:val="20"/>
                              <w:sz w:val="28"/>
                              <w:szCs w:val="28"/>
                            </w:rPr>
                          </w:pPr>
                          <w:r w:rsidRPr="00BF6D3F">
                            <w:rPr>
                              <w:rFonts w:ascii="Rubik SemiBold" w:hAnsi="Rubik SemiBold" w:cs="Rubik SemiBold"/>
                              <w:color w:val="0FA3CA"/>
                              <w:spacing w:val="20"/>
                              <w:sz w:val="28"/>
                              <w:szCs w:val="28"/>
                            </w:rPr>
                            <w:t>Last Updated:</w:t>
                          </w:r>
                          <w:r w:rsidR="00E03667">
                            <w:rPr>
                              <w:rFonts w:ascii="Rubik SemiBold" w:hAnsi="Rubik SemiBold" w:cs="Rubik SemiBold"/>
                              <w:color w:val="0FA3CA"/>
                              <w:spacing w:val="20"/>
                              <w:sz w:val="28"/>
                              <w:szCs w:val="28"/>
                            </w:rPr>
                            <w:t xml:space="preserve"> February 2026</w:t>
                          </w:r>
                          <w:r w:rsidR="00E03667">
                            <w:rPr>
                              <w:rFonts w:ascii="Rubik SemiBold" w:hAnsi="Rubik SemiBold" w:cs="Rubik SemiBold"/>
                              <w:color w:val="0FA3CA"/>
                              <w:spacing w:val="20"/>
                              <w:sz w:val="28"/>
                              <w:szCs w:val="28"/>
                            </w:rPr>
                            <w:tab/>
                          </w:r>
                        </w:p>
                        <w:p w14:paraId="60E02DDD" w14:textId="2602883A" w:rsidR="00C3255B" w:rsidRPr="00BF6D3F" w:rsidRDefault="001E07EF" w:rsidP="00BF6D3F">
                          <w:pPr>
                            <w:rPr>
                              <w:rFonts w:ascii="Rubik SemiBold" w:hAnsi="Rubik SemiBold" w:cs="Rubik SemiBold"/>
                              <w:color w:val="0FA3CA"/>
                              <w:spacing w:val="20"/>
                              <w:sz w:val="28"/>
                              <w:szCs w:val="28"/>
                            </w:rPr>
                          </w:pPr>
                          <w:r w:rsidRPr="00BF6D3F">
                            <w:rPr>
                              <w:rFonts w:ascii="Rubik SemiBold" w:hAnsi="Rubik SemiBold" w:cs="Rubik SemiBold"/>
                              <w:color w:val="0FA3CA"/>
                              <w:spacing w:val="20"/>
                              <w:sz w:val="28"/>
                              <w:szCs w:val="28"/>
                            </w:rPr>
                            <w:t xml:space="preserve">Review date: </w:t>
                          </w:r>
                          <w:r w:rsidR="00E03667">
                            <w:rPr>
                              <w:rFonts w:ascii="Rubik SemiBold" w:hAnsi="Rubik SemiBold" w:cs="Rubik SemiBold"/>
                              <w:color w:val="0FA3CA"/>
                              <w:spacing w:val="20"/>
                              <w:sz w:val="28"/>
                              <w:szCs w:val="28"/>
                            </w:rPr>
                            <w:t>February 2027</w:t>
                          </w:r>
                        </w:p>
                      </w:txbxContent>
                    </v:textbox>
                    <w10:wrap anchorx="margin"/>
                  </v:shape>
                </w:pict>
              </mc:Fallback>
            </mc:AlternateContent>
          </w:r>
          <w:r w:rsidR="00C3255B" w:rsidRPr="00171158">
            <w:rPr>
              <w:rFonts w:ascii="Rubik" w:hAnsi="Rubik" w:cs="Rubik"/>
              <w:color w:val="253B61"/>
            </w:rPr>
            <w:br w:type="page"/>
          </w:r>
        </w:p>
        <w:bookmarkStart w:id="0" w:name="_Toc224130448" w:displacedByCustomXml="next"/>
        <w:sdt>
          <w:sdtPr>
            <w:rPr>
              <w:rFonts w:asciiTheme="minorHAnsi" w:eastAsiaTheme="minorEastAsia" w:hAnsiTheme="minorHAnsi" w:cstheme="minorHAnsi"/>
              <w:noProof/>
              <w:color w:val="253B61" w:themeColor="text2" w:themeShade="BF"/>
              <w:kern w:val="28"/>
              <w:sz w:val="22"/>
              <w:szCs w:val="22"/>
            </w:rPr>
            <w:id w:val="-794832892"/>
            <w:docPartObj>
              <w:docPartGallery w:val="Table of Contents"/>
              <w:docPartUnique/>
            </w:docPartObj>
          </w:sdtPr>
          <w:sdtEndPr>
            <w:rPr>
              <w:b w:val="0"/>
            </w:rPr>
          </w:sdtEndPr>
          <w:sdtContent>
            <w:p w14:paraId="6AD4666F" w14:textId="08B0238B" w:rsidR="004A038B" w:rsidRPr="007C45DB" w:rsidRDefault="004A038B" w:rsidP="007C45DB">
              <w:pPr>
                <w:pStyle w:val="Heading1"/>
              </w:pPr>
              <w:r w:rsidRPr="007C45DB">
                <w:t>Contents</w:t>
              </w:r>
              <w:bookmarkEnd w:id="0"/>
            </w:p>
            <w:p w14:paraId="629011D7" w14:textId="5E446671" w:rsidR="00BC04D3" w:rsidRDefault="468D50E9">
              <w:pPr>
                <w:pStyle w:val="TOC1"/>
                <w:rPr>
                  <w:rFonts w:eastAsiaTheme="minorEastAsia" w:cstheme="minorBidi"/>
                  <w:b w:val="0"/>
                  <w:bCs w:val="0"/>
                  <w:color w:val="auto"/>
                  <w:kern w:val="2"/>
                  <w:sz w:val="24"/>
                  <w:szCs w:val="24"/>
                  <w:lang w:eastAsia="en-GB"/>
                  <w14:ligatures w14:val="standardContextual"/>
                </w:rPr>
              </w:pPr>
              <w:r w:rsidRPr="00171158">
                <w:rPr>
                  <w:rFonts w:ascii="Rubik" w:hAnsi="Rubik" w:cs="Rubik"/>
                  <w:color w:val="253B61"/>
                  <w:sz w:val="24"/>
                  <w:szCs w:val="24"/>
                </w:rPr>
                <w:fldChar w:fldCharType="begin"/>
              </w:r>
              <w:r w:rsidR="004A038B" w:rsidRPr="00171158">
                <w:rPr>
                  <w:rFonts w:ascii="Rubik" w:hAnsi="Rubik" w:cs="Rubik"/>
                  <w:color w:val="253B61"/>
                  <w:sz w:val="24"/>
                  <w:szCs w:val="24"/>
                </w:rPr>
                <w:instrText>TOC \o "1-3" \h \z \u</w:instrText>
              </w:r>
              <w:r w:rsidRPr="00171158">
                <w:rPr>
                  <w:rFonts w:ascii="Rubik" w:hAnsi="Rubik" w:cs="Rubik"/>
                  <w:color w:val="253B61"/>
                  <w:sz w:val="24"/>
                  <w:szCs w:val="24"/>
                </w:rPr>
                <w:fldChar w:fldCharType="separate"/>
              </w:r>
              <w:hyperlink w:anchor="_Toc224130448" w:history="1">
                <w:r w:rsidR="00BC04D3" w:rsidRPr="00D15FB5">
                  <w:rPr>
                    <w:rStyle w:val="Hyperlink"/>
                  </w:rPr>
                  <w:t>2.</w:t>
                </w:r>
                <w:r w:rsidR="00BC04D3">
                  <w:rPr>
                    <w:rFonts w:eastAsiaTheme="minorEastAsia" w:cstheme="minorBidi"/>
                    <w:b w:val="0"/>
                    <w:bCs w:val="0"/>
                    <w:color w:val="auto"/>
                    <w:kern w:val="2"/>
                    <w:sz w:val="24"/>
                    <w:szCs w:val="24"/>
                    <w:lang w:eastAsia="en-GB"/>
                    <w14:ligatures w14:val="standardContextual"/>
                  </w:rPr>
                  <w:tab/>
                </w:r>
                <w:r w:rsidR="00BC04D3" w:rsidRPr="00D15FB5">
                  <w:rPr>
                    <w:rStyle w:val="Hyperlink"/>
                  </w:rPr>
                  <w:t>Contents</w:t>
                </w:r>
                <w:r w:rsidR="00BC04D3">
                  <w:rPr>
                    <w:webHidden/>
                  </w:rPr>
                  <w:tab/>
                </w:r>
                <w:r w:rsidR="00BC04D3">
                  <w:rPr>
                    <w:webHidden/>
                  </w:rPr>
                  <w:fldChar w:fldCharType="begin"/>
                </w:r>
                <w:r w:rsidR="00BC04D3">
                  <w:rPr>
                    <w:webHidden/>
                  </w:rPr>
                  <w:instrText xml:space="preserve"> PAGEREF _Toc224130448 \h </w:instrText>
                </w:r>
                <w:r w:rsidR="00BC04D3">
                  <w:rPr>
                    <w:webHidden/>
                  </w:rPr>
                </w:r>
                <w:r w:rsidR="00BC04D3">
                  <w:rPr>
                    <w:webHidden/>
                  </w:rPr>
                  <w:fldChar w:fldCharType="separate"/>
                </w:r>
                <w:r w:rsidR="00BC04D3">
                  <w:rPr>
                    <w:webHidden/>
                  </w:rPr>
                  <w:t>1</w:t>
                </w:r>
                <w:r w:rsidR="00BC04D3">
                  <w:rPr>
                    <w:webHidden/>
                  </w:rPr>
                  <w:fldChar w:fldCharType="end"/>
                </w:r>
              </w:hyperlink>
            </w:p>
            <w:p w14:paraId="4C0962C3" w14:textId="7D56BEA3" w:rsidR="00BC04D3" w:rsidRDefault="00BC04D3">
              <w:pPr>
                <w:pStyle w:val="TOC1"/>
                <w:rPr>
                  <w:rFonts w:eastAsiaTheme="minorEastAsia" w:cstheme="minorBidi"/>
                  <w:b w:val="0"/>
                  <w:bCs w:val="0"/>
                  <w:color w:val="auto"/>
                  <w:kern w:val="2"/>
                  <w:sz w:val="24"/>
                  <w:szCs w:val="24"/>
                  <w:lang w:eastAsia="en-GB"/>
                  <w14:ligatures w14:val="standardContextual"/>
                </w:rPr>
              </w:pPr>
              <w:hyperlink w:anchor="_Toc224130449" w:history="1">
                <w:r w:rsidRPr="00D15FB5">
                  <w:rPr>
                    <w:rStyle w:val="Hyperlink"/>
                  </w:rPr>
                  <w:t>3.</w:t>
                </w:r>
                <w:r>
                  <w:rPr>
                    <w:rFonts w:eastAsiaTheme="minorEastAsia" w:cstheme="minorBidi"/>
                    <w:b w:val="0"/>
                    <w:bCs w:val="0"/>
                    <w:color w:val="auto"/>
                    <w:kern w:val="2"/>
                    <w:sz w:val="24"/>
                    <w:szCs w:val="24"/>
                    <w:lang w:eastAsia="en-GB"/>
                    <w14:ligatures w14:val="standardContextual"/>
                  </w:rPr>
                  <w:tab/>
                </w:r>
                <w:r w:rsidRPr="00D15FB5">
                  <w:rPr>
                    <w:rStyle w:val="Hyperlink"/>
                  </w:rPr>
                  <w:t>Document History</w:t>
                </w:r>
                <w:r>
                  <w:rPr>
                    <w:webHidden/>
                  </w:rPr>
                  <w:tab/>
                </w:r>
                <w:r>
                  <w:rPr>
                    <w:webHidden/>
                  </w:rPr>
                  <w:fldChar w:fldCharType="begin"/>
                </w:r>
                <w:r>
                  <w:rPr>
                    <w:webHidden/>
                  </w:rPr>
                  <w:instrText xml:space="preserve"> PAGEREF _Toc224130449 \h </w:instrText>
                </w:r>
                <w:r>
                  <w:rPr>
                    <w:webHidden/>
                  </w:rPr>
                </w:r>
                <w:r>
                  <w:rPr>
                    <w:webHidden/>
                  </w:rPr>
                  <w:fldChar w:fldCharType="separate"/>
                </w:r>
                <w:r>
                  <w:rPr>
                    <w:webHidden/>
                  </w:rPr>
                  <w:t>1</w:t>
                </w:r>
                <w:r>
                  <w:rPr>
                    <w:webHidden/>
                  </w:rPr>
                  <w:fldChar w:fldCharType="end"/>
                </w:r>
              </w:hyperlink>
            </w:p>
            <w:p w14:paraId="1F1E9DC5" w14:textId="37F7932E" w:rsidR="00BC04D3" w:rsidRDefault="00BC04D3">
              <w:pPr>
                <w:pStyle w:val="TOC1"/>
                <w:rPr>
                  <w:rFonts w:eastAsiaTheme="minorEastAsia" w:cstheme="minorBidi"/>
                  <w:b w:val="0"/>
                  <w:bCs w:val="0"/>
                  <w:color w:val="auto"/>
                  <w:kern w:val="2"/>
                  <w:sz w:val="24"/>
                  <w:szCs w:val="24"/>
                  <w:lang w:eastAsia="en-GB"/>
                  <w14:ligatures w14:val="standardContextual"/>
                </w:rPr>
              </w:pPr>
              <w:hyperlink w:anchor="_Toc224130450" w:history="1">
                <w:r w:rsidRPr="00D15FB5">
                  <w:rPr>
                    <w:rStyle w:val="Hyperlink"/>
                  </w:rPr>
                  <w:t>4.</w:t>
                </w:r>
                <w:r>
                  <w:rPr>
                    <w:rFonts w:eastAsiaTheme="minorEastAsia" w:cstheme="minorBidi"/>
                    <w:b w:val="0"/>
                    <w:bCs w:val="0"/>
                    <w:color w:val="auto"/>
                    <w:kern w:val="2"/>
                    <w:sz w:val="24"/>
                    <w:szCs w:val="24"/>
                    <w:lang w:eastAsia="en-GB"/>
                    <w14:ligatures w14:val="standardContextual"/>
                  </w:rPr>
                  <w:tab/>
                </w:r>
                <w:r w:rsidRPr="00D15FB5">
                  <w:rPr>
                    <w:rStyle w:val="Hyperlink"/>
                  </w:rPr>
                  <w:t>Introduction</w:t>
                </w:r>
                <w:r>
                  <w:rPr>
                    <w:webHidden/>
                  </w:rPr>
                  <w:tab/>
                </w:r>
                <w:r>
                  <w:rPr>
                    <w:webHidden/>
                  </w:rPr>
                  <w:fldChar w:fldCharType="begin"/>
                </w:r>
                <w:r>
                  <w:rPr>
                    <w:webHidden/>
                  </w:rPr>
                  <w:instrText xml:space="preserve"> PAGEREF _Toc224130450 \h </w:instrText>
                </w:r>
                <w:r>
                  <w:rPr>
                    <w:webHidden/>
                  </w:rPr>
                </w:r>
                <w:r>
                  <w:rPr>
                    <w:webHidden/>
                  </w:rPr>
                  <w:fldChar w:fldCharType="separate"/>
                </w:r>
                <w:r>
                  <w:rPr>
                    <w:webHidden/>
                  </w:rPr>
                  <w:t>3</w:t>
                </w:r>
                <w:r>
                  <w:rPr>
                    <w:webHidden/>
                  </w:rPr>
                  <w:fldChar w:fldCharType="end"/>
                </w:r>
              </w:hyperlink>
            </w:p>
            <w:p w14:paraId="74975A9E" w14:textId="43D61621" w:rsidR="00BC04D3" w:rsidRDefault="00BC04D3">
              <w:pPr>
                <w:pStyle w:val="TOC1"/>
                <w:rPr>
                  <w:rFonts w:eastAsiaTheme="minorEastAsia" w:cstheme="minorBidi"/>
                  <w:b w:val="0"/>
                  <w:bCs w:val="0"/>
                  <w:color w:val="auto"/>
                  <w:kern w:val="2"/>
                  <w:sz w:val="24"/>
                  <w:szCs w:val="24"/>
                  <w:lang w:eastAsia="en-GB"/>
                  <w14:ligatures w14:val="standardContextual"/>
                </w:rPr>
              </w:pPr>
              <w:hyperlink w:anchor="_Toc224130451" w:history="1">
                <w:r w:rsidRPr="00D15FB5">
                  <w:rPr>
                    <w:rStyle w:val="Hyperlink"/>
                  </w:rPr>
                  <w:t>5.</w:t>
                </w:r>
                <w:r>
                  <w:rPr>
                    <w:rFonts w:eastAsiaTheme="minorEastAsia" w:cstheme="minorBidi"/>
                    <w:b w:val="0"/>
                    <w:bCs w:val="0"/>
                    <w:color w:val="auto"/>
                    <w:kern w:val="2"/>
                    <w:sz w:val="24"/>
                    <w:szCs w:val="24"/>
                    <w:lang w:eastAsia="en-GB"/>
                    <w14:ligatures w14:val="standardContextual"/>
                  </w:rPr>
                  <w:tab/>
                </w:r>
                <w:r w:rsidRPr="00D15FB5">
                  <w:rPr>
                    <w:rStyle w:val="Hyperlink"/>
                  </w:rPr>
                  <w:t>Purpose</w:t>
                </w:r>
                <w:r>
                  <w:rPr>
                    <w:webHidden/>
                  </w:rPr>
                  <w:tab/>
                </w:r>
                <w:r>
                  <w:rPr>
                    <w:webHidden/>
                  </w:rPr>
                  <w:fldChar w:fldCharType="begin"/>
                </w:r>
                <w:r>
                  <w:rPr>
                    <w:webHidden/>
                  </w:rPr>
                  <w:instrText xml:space="preserve"> PAGEREF _Toc224130451 \h </w:instrText>
                </w:r>
                <w:r>
                  <w:rPr>
                    <w:webHidden/>
                  </w:rPr>
                </w:r>
                <w:r>
                  <w:rPr>
                    <w:webHidden/>
                  </w:rPr>
                  <w:fldChar w:fldCharType="separate"/>
                </w:r>
                <w:r>
                  <w:rPr>
                    <w:webHidden/>
                  </w:rPr>
                  <w:t>3</w:t>
                </w:r>
                <w:r>
                  <w:rPr>
                    <w:webHidden/>
                  </w:rPr>
                  <w:fldChar w:fldCharType="end"/>
                </w:r>
              </w:hyperlink>
            </w:p>
            <w:p w14:paraId="6D7C473F" w14:textId="50E0F2C3" w:rsidR="00BC04D3" w:rsidRDefault="00BC04D3">
              <w:pPr>
                <w:pStyle w:val="TOC1"/>
                <w:rPr>
                  <w:rFonts w:eastAsiaTheme="minorEastAsia" w:cstheme="minorBidi"/>
                  <w:b w:val="0"/>
                  <w:bCs w:val="0"/>
                  <w:color w:val="auto"/>
                  <w:kern w:val="2"/>
                  <w:sz w:val="24"/>
                  <w:szCs w:val="24"/>
                  <w:lang w:eastAsia="en-GB"/>
                  <w14:ligatures w14:val="standardContextual"/>
                </w:rPr>
              </w:pPr>
              <w:hyperlink w:anchor="_Toc224130452" w:history="1">
                <w:r w:rsidRPr="00D15FB5">
                  <w:rPr>
                    <w:rStyle w:val="Hyperlink"/>
                  </w:rPr>
                  <w:t>6.</w:t>
                </w:r>
                <w:r>
                  <w:rPr>
                    <w:rFonts w:eastAsiaTheme="minorEastAsia" w:cstheme="minorBidi"/>
                    <w:b w:val="0"/>
                    <w:bCs w:val="0"/>
                    <w:color w:val="auto"/>
                    <w:kern w:val="2"/>
                    <w:sz w:val="24"/>
                    <w:szCs w:val="24"/>
                    <w:lang w:eastAsia="en-GB"/>
                    <w14:ligatures w14:val="standardContextual"/>
                  </w:rPr>
                  <w:tab/>
                </w:r>
                <w:r w:rsidRPr="00D15FB5">
                  <w:rPr>
                    <w:rStyle w:val="Hyperlink"/>
                  </w:rPr>
                  <w:t>Scope</w:t>
                </w:r>
                <w:r>
                  <w:rPr>
                    <w:webHidden/>
                  </w:rPr>
                  <w:tab/>
                </w:r>
                <w:r>
                  <w:rPr>
                    <w:webHidden/>
                  </w:rPr>
                  <w:fldChar w:fldCharType="begin"/>
                </w:r>
                <w:r>
                  <w:rPr>
                    <w:webHidden/>
                  </w:rPr>
                  <w:instrText xml:space="preserve"> PAGEREF _Toc224130452 \h </w:instrText>
                </w:r>
                <w:r>
                  <w:rPr>
                    <w:webHidden/>
                  </w:rPr>
                </w:r>
                <w:r>
                  <w:rPr>
                    <w:webHidden/>
                  </w:rPr>
                  <w:fldChar w:fldCharType="separate"/>
                </w:r>
                <w:r>
                  <w:rPr>
                    <w:webHidden/>
                  </w:rPr>
                  <w:t>3</w:t>
                </w:r>
                <w:r>
                  <w:rPr>
                    <w:webHidden/>
                  </w:rPr>
                  <w:fldChar w:fldCharType="end"/>
                </w:r>
              </w:hyperlink>
            </w:p>
            <w:p w14:paraId="53C632CC" w14:textId="5CB36ABB" w:rsidR="00BC04D3" w:rsidRDefault="00BC04D3">
              <w:pPr>
                <w:pStyle w:val="TOC1"/>
                <w:rPr>
                  <w:rFonts w:eastAsiaTheme="minorEastAsia" w:cstheme="minorBidi"/>
                  <w:b w:val="0"/>
                  <w:bCs w:val="0"/>
                  <w:color w:val="auto"/>
                  <w:kern w:val="2"/>
                  <w:sz w:val="24"/>
                  <w:szCs w:val="24"/>
                  <w:lang w:eastAsia="en-GB"/>
                  <w14:ligatures w14:val="standardContextual"/>
                </w:rPr>
              </w:pPr>
              <w:hyperlink w:anchor="_Toc224130453" w:history="1">
                <w:r w:rsidRPr="00BC04D3">
                  <w:rPr>
                    <w:rStyle w:val="Hyperlink"/>
                  </w:rPr>
                  <w:t>7.</w:t>
                </w:r>
                <w:r w:rsidRPr="00BC04D3">
                  <w:rPr>
                    <w:rFonts w:eastAsiaTheme="minorEastAsia" w:cstheme="minorBidi"/>
                    <w:b w:val="0"/>
                    <w:bCs w:val="0"/>
                    <w:color w:val="auto"/>
                    <w:kern w:val="2"/>
                    <w:sz w:val="24"/>
                    <w:szCs w:val="24"/>
                    <w:lang w:eastAsia="en-GB"/>
                    <w14:ligatures w14:val="standardContextual"/>
                  </w:rPr>
                  <w:tab/>
                </w:r>
                <w:r w:rsidRPr="00BC04D3">
                  <w:rPr>
                    <w:rStyle w:val="Hyperlink"/>
                  </w:rPr>
                  <w:t>Roles and Responsibilities</w:t>
                </w:r>
                <w:r w:rsidRPr="00BC04D3">
                  <w:rPr>
                    <w:webHidden/>
                  </w:rPr>
                  <w:tab/>
                </w:r>
                <w:r w:rsidRPr="00BC04D3">
                  <w:rPr>
                    <w:webHidden/>
                  </w:rPr>
                  <w:fldChar w:fldCharType="begin"/>
                </w:r>
                <w:r w:rsidRPr="00BC04D3">
                  <w:rPr>
                    <w:webHidden/>
                  </w:rPr>
                  <w:instrText xml:space="preserve"> PAGEREF _Toc224130453 \h </w:instrText>
                </w:r>
                <w:r w:rsidRPr="00BC04D3">
                  <w:rPr>
                    <w:webHidden/>
                  </w:rPr>
                </w:r>
                <w:r w:rsidRPr="00BC04D3">
                  <w:rPr>
                    <w:webHidden/>
                  </w:rPr>
                  <w:fldChar w:fldCharType="separate"/>
                </w:r>
                <w:r w:rsidRPr="00BC04D3">
                  <w:rPr>
                    <w:webHidden/>
                  </w:rPr>
                  <w:t>3</w:t>
                </w:r>
                <w:r w:rsidRPr="00BC04D3">
                  <w:rPr>
                    <w:webHidden/>
                  </w:rPr>
                  <w:fldChar w:fldCharType="end"/>
                </w:r>
              </w:hyperlink>
            </w:p>
            <w:p w14:paraId="7597A023" w14:textId="5FF586D0" w:rsidR="00BC04D3" w:rsidRDefault="00BC04D3">
              <w:pPr>
                <w:pStyle w:val="TOC2"/>
                <w:rPr>
                  <w:rFonts w:eastAsiaTheme="minorEastAsia" w:cstheme="minorBidi"/>
                  <w:color w:val="auto"/>
                  <w:kern w:val="2"/>
                  <w:sz w:val="24"/>
                  <w:szCs w:val="24"/>
                  <w14:ligatures w14:val="standardContextual"/>
                </w:rPr>
              </w:pPr>
              <w:hyperlink w:anchor="_Toc224130454" w:history="1">
                <w:r w:rsidRPr="00D15FB5">
                  <w:rPr>
                    <w:rStyle w:val="Hyperlink"/>
                  </w:rPr>
                  <w:t>7.1</w:t>
                </w:r>
                <w:r>
                  <w:rPr>
                    <w:rFonts w:eastAsiaTheme="minorEastAsia" w:cstheme="minorBidi"/>
                    <w:color w:val="auto"/>
                    <w:kern w:val="2"/>
                    <w:sz w:val="24"/>
                    <w:szCs w:val="24"/>
                    <w14:ligatures w14:val="standardContextual"/>
                  </w:rPr>
                  <w:tab/>
                </w:r>
                <w:r w:rsidRPr="00D15FB5">
                  <w:rPr>
                    <w:rStyle w:val="Hyperlink"/>
                  </w:rPr>
                  <w:t>Senior Responsible Person</w:t>
                </w:r>
                <w:r>
                  <w:rPr>
                    <w:webHidden/>
                  </w:rPr>
                  <w:tab/>
                </w:r>
                <w:r>
                  <w:rPr>
                    <w:webHidden/>
                  </w:rPr>
                  <w:fldChar w:fldCharType="begin"/>
                </w:r>
                <w:r>
                  <w:rPr>
                    <w:webHidden/>
                  </w:rPr>
                  <w:instrText xml:space="preserve"> PAGEREF _Toc224130454 \h </w:instrText>
                </w:r>
                <w:r>
                  <w:rPr>
                    <w:webHidden/>
                  </w:rPr>
                </w:r>
                <w:r>
                  <w:rPr>
                    <w:webHidden/>
                  </w:rPr>
                  <w:fldChar w:fldCharType="separate"/>
                </w:r>
                <w:r>
                  <w:rPr>
                    <w:webHidden/>
                  </w:rPr>
                  <w:t>3</w:t>
                </w:r>
                <w:r>
                  <w:rPr>
                    <w:webHidden/>
                  </w:rPr>
                  <w:fldChar w:fldCharType="end"/>
                </w:r>
              </w:hyperlink>
            </w:p>
            <w:p w14:paraId="54E74B5C" w14:textId="1BB9C37E" w:rsidR="00BC04D3" w:rsidRDefault="00BC04D3">
              <w:pPr>
                <w:pStyle w:val="TOC2"/>
                <w:rPr>
                  <w:rFonts w:eastAsiaTheme="minorEastAsia" w:cstheme="minorBidi"/>
                  <w:color w:val="auto"/>
                  <w:kern w:val="2"/>
                  <w:sz w:val="24"/>
                  <w:szCs w:val="24"/>
                  <w14:ligatures w14:val="standardContextual"/>
                </w:rPr>
              </w:pPr>
              <w:hyperlink w:anchor="_Toc224130455" w:history="1">
                <w:r w:rsidRPr="00D15FB5">
                  <w:rPr>
                    <w:rStyle w:val="Hyperlink"/>
                  </w:rPr>
                  <w:t>7.2</w:t>
                </w:r>
                <w:r>
                  <w:rPr>
                    <w:rFonts w:eastAsiaTheme="minorEastAsia" w:cstheme="minorBidi"/>
                    <w:color w:val="auto"/>
                    <w:kern w:val="2"/>
                    <w:sz w:val="24"/>
                    <w:szCs w:val="24"/>
                    <w14:ligatures w14:val="standardContextual"/>
                  </w:rPr>
                  <w:tab/>
                </w:r>
                <w:r w:rsidRPr="00D15FB5">
                  <w:rPr>
                    <w:rStyle w:val="Hyperlink"/>
                  </w:rPr>
                  <w:t>Information Governance Lead</w:t>
                </w:r>
                <w:r>
                  <w:rPr>
                    <w:webHidden/>
                  </w:rPr>
                  <w:tab/>
                </w:r>
                <w:r>
                  <w:rPr>
                    <w:webHidden/>
                  </w:rPr>
                  <w:fldChar w:fldCharType="begin"/>
                </w:r>
                <w:r>
                  <w:rPr>
                    <w:webHidden/>
                  </w:rPr>
                  <w:instrText xml:space="preserve"> PAGEREF _Toc224130455 \h </w:instrText>
                </w:r>
                <w:r>
                  <w:rPr>
                    <w:webHidden/>
                  </w:rPr>
                </w:r>
                <w:r>
                  <w:rPr>
                    <w:webHidden/>
                  </w:rPr>
                  <w:fldChar w:fldCharType="separate"/>
                </w:r>
                <w:r>
                  <w:rPr>
                    <w:webHidden/>
                  </w:rPr>
                  <w:t>3</w:t>
                </w:r>
                <w:r>
                  <w:rPr>
                    <w:webHidden/>
                  </w:rPr>
                  <w:fldChar w:fldCharType="end"/>
                </w:r>
              </w:hyperlink>
            </w:p>
            <w:p w14:paraId="4842F0F2" w14:textId="0FDFDDFF" w:rsidR="00BC04D3" w:rsidRDefault="00BC04D3">
              <w:pPr>
                <w:pStyle w:val="TOC2"/>
                <w:rPr>
                  <w:rFonts w:eastAsiaTheme="minorEastAsia" w:cstheme="minorBidi"/>
                  <w:color w:val="auto"/>
                  <w:kern w:val="2"/>
                  <w:sz w:val="24"/>
                  <w:szCs w:val="24"/>
                  <w14:ligatures w14:val="standardContextual"/>
                </w:rPr>
              </w:pPr>
              <w:hyperlink w:anchor="_Toc224130456" w:history="1">
                <w:r w:rsidRPr="00D15FB5">
                  <w:rPr>
                    <w:rStyle w:val="Hyperlink"/>
                  </w:rPr>
                  <w:t>7.3</w:t>
                </w:r>
                <w:r>
                  <w:rPr>
                    <w:rFonts w:eastAsiaTheme="minorEastAsia" w:cstheme="minorBidi"/>
                    <w:color w:val="auto"/>
                    <w:kern w:val="2"/>
                    <w:sz w:val="24"/>
                    <w:szCs w:val="24"/>
                    <w14:ligatures w14:val="standardContextual"/>
                  </w:rPr>
                  <w:tab/>
                </w:r>
                <w:r w:rsidRPr="00D15FB5">
                  <w:rPr>
                    <w:rStyle w:val="Hyperlink"/>
                  </w:rPr>
                  <w:t>Data Protection Officer</w:t>
                </w:r>
                <w:r>
                  <w:rPr>
                    <w:webHidden/>
                  </w:rPr>
                  <w:tab/>
                </w:r>
                <w:r>
                  <w:rPr>
                    <w:webHidden/>
                  </w:rPr>
                  <w:fldChar w:fldCharType="begin"/>
                </w:r>
                <w:r>
                  <w:rPr>
                    <w:webHidden/>
                  </w:rPr>
                  <w:instrText xml:space="preserve"> PAGEREF _Toc224130456 \h </w:instrText>
                </w:r>
                <w:r>
                  <w:rPr>
                    <w:webHidden/>
                  </w:rPr>
                </w:r>
                <w:r>
                  <w:rPr>
                    <w:webHidden/>
                  </w:rPr>
                  <w:fldChar w:fldCharType="separate"/>
                </w:r>
                <w:r>
                  <w:rPr>
                    <w:webHidden/>
                  </w:rPr>
                  <w:t>4</w:t>
                </w:r>
                <w:r>
                  <w:rPr>
                    <w:webHidden/>
                  </w:rPr>
                  <w:fldChar w:fldCharType="end"/>
                </w:r>
              </w:hyperlink>
            </w:p>
            <w:p w14:paraId="4B225CAA" w14:textId="2EFCA5E2" w:rsidR="00BC04D3" w:rsidRDefault="00BC04D3">
              <w:pPr>
                <w:pStyle w:val="TOC1"/>
                <w:rPr>
                  <w:rFonts w:eastAsiaTheme="minorEastAsia" w:cstheme="minorBidi"/>
                  <w:b w:val="0"/>
                  <w:bCs w:val="0"/>
                  <w:color w:val="auto"/>
                  <w:kern w:val="2"/>
                  <w:sz w:val="24"/>
                  <w:szCs w:val="24"/>
                  <w:lang w:eastAsia="en-GB"/>
                  <w14:ligatures w14:val="standardContextual"/>
                </w:rPr>
              </w:pPr>
              <w:hyperlink w:anchor="_Toc224130457" w:history="1">
                <w:r w:rsidRPr="00D15FB5">
                  <w:rPr>
                    <w:rStyle w:val="Hyperlink"/>
                  </w:rPr>
                  <w:t>6.</w:t>
                </w:r>
                <w:r>
                  <w:rPr>
                    <w:rFonts w:eastAsiaTheme="minorEastAsia" w:cstheme="minorBidi"/>
                    <w:b w:val="0"/>
                    <w:bCs w:val="0"/>
                    <w:color w:val="auto"/>
                    <w:kern w:val="2"/>
                    <w:sz w:val="24"/>
                    <w:szCs w:val="24"/>
                    <w:lang w:eastAsia="en-GB"/>
                    <w14:ligatures w14:val="standardContextual"/>
                  </w:rPr>
                  <w:tab/>
                </w:r>
                <w:r w:rsidRPr="00D15FB5">
                  <w:rPr>
                    <w:rStyle w:val="Hyperlink"/>
                  </w:rPr>
                  <w:t>Procedure</w:t>
                </w:r>
                <w:r>
                  <w:rPr>
                    <w:webHidden/>
                  </w:rPr>
                  <w:tab/>
                </w:r>
                <w:r>
                  <w:rPr>
                    <w:webHidden/>
                  </w:rPr>
                  <w:fldChar w:fldCharType="begin"/>
                </w:r>
                <w:r>
                  <w:rPr>
                    <w:webHidden/>
                  </w:rPr>
                  <w:instrText xml:space="preserve"> PAGEREF _Toc224130457 \h </w:instrText>
                </w:r>
                <w:r>
                  <w:rPr>
                    <w:webHidden/>
                  </w:rPr>
                </w:r>
                <w:r>
                  <w:rPr>
                    <w:webHidden/>
                  </w:rPr>
                  <w:fldChar w:fldCharType="separate"/>
                </w:r>
                <w:r>
                  <w:rPr>
                    <w:webHidden/>
                  </w:rPr>
                  <w:t>4</w:t>
                </w:r>
                <w:r>
                  <w:rPr>
                    <w:webHidden/>
                  </w:rPr>
                  <w:fldChar w:fldCharType="end"/>
                </w:r>
              </w:hyperlink>
            </w:p>
            <w:p w14:paraId="0049BD0E" w14:textId="6F84D717" w:rsidR="00BC04D3" w:rsidRDefault="00BC04D3">
              <w:pPr>
                <w:pStyle w:val="TOC2"/>
                <w:rPr>
                  <w:rFonts w:eastAsiaTheme="minorEastAsia" w:cstheme="minorBidi"/>
                  <w:color w:val="auto"/>
                  <w:kern w:val="2"/>
                  <w:sz w:val="24"/>
                  <w:szCs w:val="24"/>
                  <w14:ligatures w14:val="standardContextual"/>
                </w:rPr>
              </w:pPr>
              <w:hyperlink w:anchor="_Toc224130458" w:history="1">
                <w:r w:rsidRPr="00D15FB5">
                  <w:rPr>
                    <w:rStyle w:val="Hyperlink"/>
                  </w:rPr>
                  <w:t>6.1</w:t>
                </w:r>
                <w:r>
                  <w:rPr>
                    <w:rFonts w:eastAsiaTheme="minorEastAsia" w:cstheme="minorBidi"/>
                    <w:color w:val="auto"/>
                    <w:kern w:val="2"/>
                    <w:sz w:val="24"/>
                    <w:szCs w:val="24"/>
                    <w14:ligatures w14:val="standardContextual"/>
                  </w:rPr>
                  <w:tab/>
                </w:r>
                <w:r w:rsidRPr="00D15FB5">
                  <w:rPr>
                    <w:rStyle w:val="Hyperlink"/>
                  </w:rPr>
                  <w:t>Requests for Information</w:t>
                </w:r>
                <w:r>
                  <w:rPr>
                    <w:webHidden/>
                  </w:rPr>
                  <w:tab/>
                </w:r>
                <w:r>
                  <w:rPr>
                    <w:webHidden/>
                  </w:rPr>
                  <w:fldChar w:fldCharType="begin"/>
                </w:r>
                <w:r>
                  <w:rPr>
                    <w:webHidden/>
                  </w:rPr>
                  <w:instrText xml:space="preserve"> PAGEREF _Toc224130458 \h </w:instrText>
                </w:r>
                <w:r>
                  <w:rPr>
                    <w:webHidden/>
                  </w:rPr>
                </w:r>
                <w:r>
                  <w:rPr>
                    <w:webHidden/>
                  </w:rPr>
                  <w:fldChar w:fldCharType="separate"/>
                </w:r>
                <w:r>
                  <w:rPr>
                    <w:webHidden/>
                  </w:rPr>
                  <w:t>4</w:t>
                </w:r>
                <w:r>
                  <w:rPr>
                    <w:webHidden/>
                  </w:rPr>
                  <w:fldChar w:fldCharType="end"/>
                </w:r>
              </w:hyperlink>
            </w:p>
            <w:p w14:paraId="27E666A7" w14:textId="6B6020A8" w:rsidR="00BC04D3" w:rsidRDefault="00BC04D3">
              <w:pPr>
                <w:pStyle w:val="TOC2"/>
                <w:rPr>
                  <w:rFonts w:eastAsiaTheme="minorEastAsia" w:cstheme="minorBidi"/>
                  <w:color w:val="auto"/>
                  <w:kern w:val="2"/>
                  <w:sz w:val="24"/>
                  <w:szCs w:val="24"/>
                  <w14:ligatures w14:val="standardContextual"/>
                </w:rPr>
              </w:pPr>
              <w:hyperlink w:anchor="_Toc224130459" w:history="1">
                <w:r w:rsidRPr="00D15FB5">
                  <w:rPr>
                    <w:rStyle w:val="Hyperlink"/>
                  </w:rPr>
                  <w:t>6.1.1 Timeframe</w:t>
                </w:r>
                <w:r>
                  <w:rPr>
                    <w:webHidden/>
                  </w:rPr>
                  <w:tab/>
                </w:r>
                <w:r>
                  <w:rPr>
                    <w:webHidden/>
                  </w:rPr>
                  <w:fldChar w:fldCharType="begin"/>
                </w:r>
                <w:r>
                  <w:rPr>
                    <w:webHidden/>
                  </w:rPr>
                  <w:instrText xml:space="preserve"> PAGEREF _Toc224130459 \h </w:instrText>
                </w:r>
                <w:r>
                  <w:rPr>
                    <w:webHidden/>
                  </w:rPr>
                </w:r>
                <w:r>
                  <w:rPr>
                    <w:webHidden/>
                  </w:rPr>
                  <w:fldChar w:fldCharType="separate"/>
                </w:r>
                <w:r>
                  <w:rPr>
                    <w:webHidden/>
                  </w:rPr>
                  <w:t>4</w:t>
                </w:r>
                <w:r>
                  <w:rPr>
                    <w:webHidden/>
                  </w:rPr>
                  <w:fldChar w:fldCharType="end"/>
                </w:r>
              </w:hyperlink>
            </w:p>
            <w:p w14:paraId="4CFCE0B9" w14:textId="482E6EF5" w:rsidR="00BC04D3" w:rsidRDefault="00BC04D3">
              <w:pPr>
                <w:pStyle w:val="TOC2"/>
                <w:rPr>
                  <w:rFonts w:eastAsiaTheme="minorEastAsia" w:cstheme="minorBidi"/>
                  <w:color w:val="auto"/>
                  <w:kern w:val="2"/>
                  <w:sz w:val="24"/>
                  <w:szCs w:val="24"/>
                  <w14:ligatures w14:val="standardContextual"/>
                </w:rPr>
              </w:pPr>
              <w:hyperlink w:anchor="_Toc224130460" w:history="1">
                <w:r w:rsidRPr="00D15FB5">
                  <w:rPr>
                    <w:rStyle w:val="Hyperlink"/>
                  </w:rPr>
                  <w:t>6.1.2 Information within remit of FOIA and EIR</w:t>
                </w:r>
                <w:r>
                  <w:rPr>
                    <w:webHidden/>
                  </w:rPr>
                  <w:tab/>
                </w:r>
                <w:r>
                  <w:rPr>
                    <w:webHidden/>
                  </w:rPr>
                  <w:fldChar w:fldCharType="begin"/>
                </w:r>
                <w:r>
                  <w:rPr>
                    <w:webHidden/>
                  </w:rPr>
                  <w:instrText xml:space="preserve"> PAGEREF _Toc224130460 \h </w:instrText>
                </w:r>
                <w:r>
                  <w:rPr>
                    <w:webHidden/>
                  </w:rPr>
                </w:r>
                <w:r>
                  <w:rPr>
                    <w:webHidden/>
                  </w:rPr>
                  <w:fldChar w:fldCharType="separate"/>
                </w:r>
                <w:r>
                  <w:rPr>
                    <w:webHidden/>
                  </w:rPr>
                  <w:t>4</w:t>
                </w:r>
                <w:r>
                  <w:rPr>
                    <w:webHidden/>
                  </w:rPr>
                  <w:fldChar w:fldCharType="end"/>
                </w:r>
              </w:hyperlink>
            </w:p>
            <w:p w14:paraId="1C45E915" w14:textId="5B02979E" w:rsidR="00BC04D3" w:rsidRDefault="00BC04D3">
              <w:pPr>
                <w:pStyle w:val="TOC2"/>
                <w:rPr>
                  <w:rFonts w:eastAsiaTheme="minorEastAsia" w:cstheme="minorBidi"/>
                  <w:color w:val="auto"/>
                  <w:kern w:val="2"/>
                  <w:sz w:val="24"/>
                  <w:szCs w:val="24"/>
                  <w14:ligatures w14:val="standardContextual"/>
                </w:rPr>
              </w:pPr>
              <w:hyperlink w:anchor="_Toc224130461" w:history="1">
                <w:r w:rsidRPr="00D15FB5">
                  <w:rPr>
                    <w:rStyle w:val="Hyperlink"/>
                  </w:rPr>
                  <w:t>6.1.3 Destruction of Requested Information</w:t>
                </w:r>
                <w:r>
                  <w:rPr>
                    <w:webHidden/>
                  </w:rPr>
                  <w:tab/>
                </w:r>
                <w:r>
                  <w:rPr>
                    <w:webHidden/>
                  </w:rPr>
                  <w:fldChar w:fldCharType="begin"/>
                </w:r>
                <w:r>
                  <w:rPr>
                    <w:webHidden/>
                  </w:rPr>
                  <w:instrText xml:space="preserve"> PAGEREF _Toc224130461 \h </w:instrText>
                </w:r>
                <w:r>
                  <w:rPr>
                    <w:webHidden/>
                  </w:rPr>
                </w:r>
                <w:r>
                  <w:rPr>
                    <w:webHidden/>
                  </w:rPr>
                  <w:fldChar w:fldCharType="separate"/>
                </w:r>
                <w:r>
                  <w:rPr>
                    <w:webHidden/>
                  </w:rPr>
                  <w:t>5</w:t>
                </w:r>
                <w:r>
                  <w:rPr>
                    <w:webHidden/>
                  </w:rPr>
                  <w:fldChar w:fldCharType="end"/>
                </w:r>
              </w:hyperlink>
            </w:p>
            <w:p w14:paraId="410B963B" w14:textId="6BC5E5DF" w:rsidR="00BC04D3" w:rsidRDefault="00BC04D3">
              <w:pPr>
                <w:pStyle w:val="TOC2"/>
                <w:rPr>
                  <w:rFonts w:eastAsiaTheme="minorEastAsia" w:cstheme="minorBidi"/>
                  <w:color w:val="auto"/>
                  <w:kern w:val="2"/>
                  <w:sz w:val="24"/>
                  <w:szCs w:val="24"/>
                  <w14:ligatures w14:val="standardContextual"/>
                </w:rPr>
              </w:pPr>
              <w:hyperlink w:anchor="_Toc224130462" w:history="1">
                <w:r w:rsidRPr="00D15FB5">
                  <w:rPr>
                    <w:rStyle w:val="Hyperlink"/>
                  </w:rPr>
                  <w:t>6.2</w:t>
                </w:r>
                <w:r>
                  <w:rPr>
                    <w:rFonts w:eastAsiaTheme="minorEastAsia" w:cstheme="minorBidi"/>
                    <w:color w:val="auto"/>
                    <w:kern w:val="2"/>
                    <w:sz w:val="24"/>
                    <w:szCs w:val="24"/>
                    <w14:ligatures w14:val="standardContextual"/>
                  </w:rPr>
                  <w:tab/>
                </w:r>
                <w:r w:rsidRPr="00D15FB5">
                  <w:rPr>
                    <w:rStyle w:val="Hyperlink"/>
                  </w:rPr>
                  <w:t>Processing a Request</w:t>
                </w:r>
                <w:r>
                  <w:rPr>
                    <w:webHidden/>
                  </w:rPr>
                  <w:tab/>
                </w:r>
                <w:r>
                  <w:rPr>
                    <w:webHidden/>
                  </w:rPr>
                  <w:fldChar w:fldCharType="begin"/>
                </w:r>
                <w:r>
                  <w:rPr>
                    <w:webHidden/>
                  </w:rPr>
                  <w:instrText xml:space="preserve"> PAGEREF _Toc224130462 \h </w:instrText>
                </w:r>
                <w:r>
                  <w:rPr>
                    <w:webHidden/>
                  </w:rPr>
                </w:r>
                <w:r>
                  <w:rPr>
                    <w:webHidden/>
                  </w:rPr>
                  <w:fldChar w:fldCharType="separate"/>
                </w:r>
                <w:r>
                  <w:rPr>
                    <w:webHidden/>
                  </w:rPr>
                  <w:t>5</w:t>
                </w:r>
                <w:r>
                  <w:rPr>
                    <w:webHidden/>
                  </w:rPr>
                  <w:fldChar w:fldCharType="end"/>
                </w:r>
              </w:hyperlink>
            </w:p>
            <w:p w14:paraId="748F39D6" w14:textId="70A4EE8D" w:rsidR="00BC04D3" w:rsidRDefault="00BC04D3">
              <w:pPr>
                <w:pStyle w:val="TOC2"/>
                <w:rPr>
                  <w:rFonts w:eastAsiaTheme="minorEastAsia" w:cstheme="minorBidi"/>
                  <w:color w:val="auto"/>
                  <w:kern w:val="2"/>
                  <w:sz w:val="24"/>
                  <w:szCs w:val="24"/>
                  <w14:ligatures w14:val="standardContextual"/>
                </w:rPr>
              </w:pPr>
              <w:hyperlink w:anchor="_Toc224130463" w:history="1">
                <w:r w:rsidRPr="00D15FB5">
                  <w:rPr>
                    <w:rStyle w:val="Hyperlink"/>
                  </w:rPr>
                  <w:t>6.2.1 Receiving a Request</w:t>
                </w:r>
                <w:r>
                  <w:rPr>
                    <w:webHidden/>
                  </w:rPr>
                  <w:tab/>
                </w:r>
                <w:r>
                  <w:rPr>
                    <w:webHidden/>
                  </w:rPr>
                  <w:fldChar w:fldCharType="begin"/>
                </w:r>
                <w:r>
                  <w:rPr>
                    <w:webHidden/>
                  </w:rPr>
                  <w:instrText xml:space="preserve"> PAGEREF _Toc224130463 \h </w:instrText>
                </w:r>
                <w:r>
                  <w:rPr>
                    <w:webHidden/>
                  </w:rPr>
                </w:r>
                <w:r>
                  <w:rPr>
                    <w:webHidden/>
                  </w:rPr>
                  <w:fldChar w:fldCharType="separate"/>
                </w:r>
                <w:r>
                  <w:rPr>
                    <w:webHidden/>
                  </w:rPr>
                  <w:t>5</w:t>
                </w:r>
                <w:r>
                  <w:rPr>
                    <w:webHidden/>
                  </w:rPr>
                  <w:fldChar w:fldCharType="end"/>
                </w:r>
              </w:hyperlink>
            </w:p>
            <w:p w14:paraId="35AAAFDE" w14:textId="4E33A734" w:rsidR="00BC04D3" w:rsidRDefault="00BC04D3">
              <w:pPr>
                <w:pStyle w:val="TOC2"/>
                <w:rPr>
                  <w:rFonts w:eastAsiaTheme="minorEastAsia" w:cstheme="minorBidi"/>
                  <w:color w:val="auto"/>
                  <w:kern w:val="2"/>
                  <w:sz w:val="24"/>
                  <w:szCs w:val="24"/>
                  <w14:ligatures w14:val="standardContextual"/>
                </w:rPr>
              </w:pPr>
              <w:hyperlink w:anchor="_Toc224130464" w:history="1">
                <w:r w:rsidRPr="00D15FB5">
                  <w:rPr>
                    <w:rStyle w:val="Hyperlink"/>
                  </w:rPr>
                  <w:t>6.2.2 Acknowledging a Request</w:t>
                </w:r>
                <w:r>
                  <w:rPr>
                    <w:webHidden/>
                  </w:rPr>
                  <w:tab/>
                </w:r>
                <w:r>
                  <w:rPr>
                    <w:webHidden/>
                  </w:rPr>
                  <w:fldChar w:fldCharType="begin"/>
                </w:r>
                <w:r>
                  <w:rPr>
                    <w:webHidden/>
                  </w:rPr>
                  <w:instrText xml:space="preserve"> PAGEREF _Toc224130464 \h </w:instrText>
                </w:r>
                <w:r>
                  <w:rPr>
                    <w:webHidden/>
                  </w:rPr>
                </w:r>
                <w:r>
                  <w:rPr>
                    <w:webHidden/>
                  </w:rPr>
                  <w:fldChar w:fldCharType="separate"/>
                </w:r>
                <w:r>
                  <w:rPr>
                    <w:webHidden/>
                  </w:rPr>
                  <w:t>6</w:t>
                </w:r>
                <w:r>
                  <w:rPr>
                    <w:webHidden/>
                  </w:rPr>
                  <w:fldChar w:fldCharType="end"/>
                </w:r>
              </w:hyperlink>
            </w:p>
            <w:p w14:paraId="7029AB7E" w14:textId="25B9AC03" w:rsidR="00BC04D3" w:rsidRDefault="00BC04D3">
              <w:pPr>
                <w:pStyle w:val="TOC2"/>
                <w:rPr>
                  <w:rFonts w:eastAsiaTheme="minorEastAsia" w:cstheme="minorBidi"/>
                  <w:color w:val="auto"/>
                  <w:kern w:val="2"/>
                  <w:sz w:val="24"/>
                  <w:szCs w:val="24"/>
                  <w14:ligatures w14:val="standardContextual"/>
                </w:rPr>
              </w:pPr>
              <w:hyperlink w:anchor="_Toc224130465" w:history="1">
                <w:r w:rsidRPr="00D15FB5">
                  <w:rPr>
                    <w:rStyle w:val="Hyperlink"/>
                  </w:rPr>
                  <w:t>6.2.3 Clarification</w:t>
                </w:r>
                <w:r>
                  <w:rPr>
                    <w:webHidden/>
                  </w:rPr>
                  <w:tab/>
                </w:r>
                <w:r>
                  <w:rPr>
                    <w:webHidden/>
                  </w:rPr>
                  <w:fldChar w:fldCharType="begin"/>
                </w:r>
                <w:r>
                  <w:rPr>
                    <w:webHidden/>
                  </w:rPr>
                  <w:instrText xml:space="preserve"> PAGEREF _Toc224130465 \h </w:instrText>
                </w:r>
                <w:r>
                  <w:rPr>
                    <w:webHidden/>
                  </w:rPr>
                </w:r>
                <w:r>
                  <w:rPr>
                    <w:webHidden/>
                  </w:rPr>
                  <w:fldChar w:fldCharType="separate"/>
                </w:r>
                <w:r>
                  <w:rPr>
                    <w:webHidden/>
                  </w:rPr>
                  <w:t>6</w:t>
                </w:r>
                <w:r>
                  <w:rPr>
                    <w:webHidden/>
                  </w:rPr>
                  <w:fldChar w:fldCharType="end"/>
                </w:r>
              </w:hyperlink>
            </w:p>
            <w:p w14:paraId="09A4E46F" w14:textId="6DFD308C" w:rsidR="00BC04D3" w:rsidRDefault="00BC04D3">
              <w:pPr>
                <w:pStyle w:val="TOC2"/>
                <w:rPr>
                  <w:rFonts w:eastAsiaTheme="minorEastAsia" w:cstheme="minorBidi"/>
                  <w:color w:val="auto"/>
                  <w:kern w:val="2"/>
                  <w:sz w:val="24"/>
                  <w:szCs w:val="24"/>
                  <w14:ligatures w14:val="standardContextual"/>
                </w:rPr>
              </w:pPr>
              <w:hyperlink w:anchor="_Toc224130466" w:history="1">
                <w:r w:rsidRPr="00D15FB5">
                  <w:rPr>
                    <w:rStyle w:val="Hyperlink"/>
                  </w:rPr>
                  <w:t>6.3 Refusing a Request</w:t>
                </w:r>
                <w:r>
                  <w:rPr>
                    <w:webHidden/>
                  </w:rPr>
                  <w:tab/>
                </w:r>
                <w:r>
                  <w:rPr>
                    <w:webHidden/>
                  </w:rPr>
                  <w:fldChar w:fldCharType="begin"/>
                </w:r>
                <w:r>
                  <w:rPr>
                    <w:webHidden/>
                  </w:rPr>
                  <w:instrText xml:space="preserve"> PAGEREF _Toc224130466 \h </w:instrText>
                </w:r>
                <w:r>
                  <w:rPr>
                    <w:webHidden/>
                  </w:rPr>
                </w:r>
                <w:r>
                  <w:rPr>
                    <w:webHidden/>
                  </w:rPr>
                  <w:fldChar w:fldCharType="separate"/>
                </w:r>
                <w:r>
                  <w:rPr>
                    <w:webHidden/>
                  </w:rPr>
                  <w:t>6</w:t>
                </w:r>
                <w:r>
                  <w:rPr>
                    <w:webHidden/>
                  </w:rPr>
                  <w:fldChar w:fldCharType="end"/>
                </w:r>
              </w:hyperlink>
            </w:p>
            <w:p w14:paraId="15DC19EB" w14:textId="15DF04DC" w:rsidR="00BC04D3" w:rsidRDefault="00BC04D3">
              <w:pPr>
                <w:pStyle w:val="TOC2"/>
                <w:rPr>
                  <w:rFonts w:eastAsiaTheme="minorEastAsia" w:cstheme="minorBidi"/>
                  <w:color w:val="auto"/>
                  <w:kern w:val="2"/>
                  <w:sz w:val="24"/>
                  <w:szCs w:val="24"/>
                  <w14:ligatures w14:val="standardContextual"/>
                </w:rPr>
              </w:pPr>
              <w:hyperlink w:anchor="_Toc224130467" w:history="1">
                <w:r w:rsidRPr="00D15FB5">
                  <w:rPr>
                    <w:rStyle w:val="Hyperlink"/>
                  </w:rPr>
                  <w:t>6.3.1 Vexatious or Repeated Requests</w:t>
                </w:r>
                <w:r>
                  <w:rPr>
                    <w:webHidden/>
                  </w:rPr>
                  <w:tab/>
                </w:r>
                <w:r>
                  <w:rPr>
                    <w:webHidden/>
                  </w:rPr>
                  <w:fldChar w:fldCharType="begin"/>
                </w:r>
                <w:r>
                  <w:rPr>
                    <w:webHidden/>
                  </w:rPr>
                  <w:instrText xml:space="preserve"> PAGEREF _Toc224130467 \h </w:instrText>
                </w:r>
                <w:r>
                  <w:rPr>
                    <w:webHidden/>
                  </w:rPr>
                </w:r>
                <w:r>
                  <w:rPr>
                    <w:webHidden/>
                  </w:rPr>
                  <w:fldChar w:fldCharType="separate"/>
                </w:r>
                <w:r>
                  <w:rPr>
                    <w:webHidden/>
                  </w:rPr>
                  <w:t>6</w:t>
                </w:r>
                <w:r>
                  <w:rPr>
                    <w:webHidden/>
                  </w:rPr>
                  <w:fldChar w:fldCharType="end"/>
                </w:r>
              </w:hyperlink>
            </w:p>
            <w:p w14:paraId="37DB0A90" w14:textId="13BE1437" w:rsidR="00BC04D3" w:rsidRDefault="00BC04D3">
              <w:pPr>
                <w:pStyle w:val="TOC2"/>
                <w:rPr>
                  <w:rFonts w:eastAsiaTheme="minorEastAsia" w:cstheme="minorBidi"/>
                  <w:color w:val="auto"/>
                  <w:kern w:val="2"/>
                  <w:sz w:val="24"/>
                  <w:szCs w:val="24"/>
                  <w14:ligatures w14:val="standardContextual"/>
                </w:rPr>
              </w:pPr>
              <w:hyperlink w:anchor="_Toc224130468" w:history="1">
                <w:r w:rsidRPr="00D15FB5">
                  <w:rPr>
                    <w:rStyle w:val="Hyperlink"/>
                  </w:rPr>
                  <w:t>6.4 Compiling a Response</w:t>
                </w:r>
                <w:r>
                  <w:rPr>
                    <w:webHidden/>
                  </w:rPr>
                  <w:tab/>
                </w:r>
                <w:r>
                  <w:rPr>
                    <w:webHidden/>
                  </w:rPr>
                  <w:fldChar w:fldCharType="begin"/>
                </w:r>
                <w:r>
                  <w:rPr>
                    <w:webHidden/>
                  </w:rPr>
                  <w:instrText xml:space="preserve"> PAGEREF _Toc224130468 \h </w:instrText>
                </w:r>
                <w:r>
                  <w:rPr>
                    <w:webHidden/>
                  </w:rPr>
                </w:r>
                <w:r>
                  <w:rPr>
                    <w:webHidden/>
                  </w:rPr>
                  <w:fldChar w:fldCharType="separate"/>
                </w:r>
                <w:r>
                  <w:rPr>
                    <w:webHidden/>
                  </w:rPr>
                  <w:t>6</w:t>
                </w:r>
                <w:r>
                  <w:rPr>
                    <w:webHidden/>
                  </w:rPr>
                  <w:fldChar w:fldCharType="end"/>
                </w:r>
              </w:hyperlink>
            </w:p>
            <w:p w14:paraId="69310702" w14:textId="516A19AE" w:rsidR="00BC04D3" w:rsidRDefault="00BC04D3">
              <w:pPr>
                <w:pStyle w:val="TOC2"/>
                <w:rPr>
                  <w:rFonts w:eastAsiaTheme="minorEastAsia" w:cstheme="minorBidi"/>
                  <w:color w:val="auto"/>
                  <w:kern w:val="2"/>
                  <w:sz w:val="24"/>
                  <w:szCs w:val="24"/>
                  <w14:ligatures w14:val="standardContextual"/>
                </w:rPr>
              </w:pPr>
              <w:hyperlink w:anchor="_Toc224130469" w:history="1">
                <w:r w:rsidRPr="00D15FB5">
                  <w:rPr>
                    <w:rStyle w:val="Hyperlink"/>
                  </w:rPr>
                  <w:t>6.4.1 Providing Advice and Assistance</w:t>
                </w:r>
                <w:r>
                  <w:rPr>
                    <w:webHidden/>
                  </w:rPr>
                  <w:tab/>
                </w:r>
                <w:r>
                  <w:rPr>
                    <w:webHidden/>
                  </w:rPr>
                  <w:fldChar w:fldCharType="begin"/>
                </w:r>
                <w:r>
                  <w:rPr>
                    <w:webHidden/>
                  </w:rPr>
                  <w:instrText xml:space="preserve"> PAGEREF _Toc224130469 \h </w:instrText>
                </w:r>
                <w:r>
                  <w:rPr>
                    <w:webHidden/>
                  </w:rPr>
                </w:r>
                <w:r>
                  <w:rPr>
                    <w:webHidden/>
                  </w:rPr>
                  <w:fldChar w:fldCharType="separate"/>
                </w:r>
                <w:r>
                  <w:rPr>
                    <w:webHidden/>
                  </w:rPr>
                  <w:t>7</w:t>
                </w:r>
                <w:r>
                  <w:rPr>
                    <w:webHidden/>
                  </w:rPr>
                  <w:fldChar w:fldCharType="end"/>
                </w:r>
              </w:hyperlink>
            </w:p>
            <w:p w14:paraId="18E6C99F" w14:textId="281AB346" w:rsidR="00BC04D3" w:rsidRDefault="00BC04D3">
              <w:pPr>
                <w:pStyle w:val="TOC2"/>
                <w:rPr>
                  <w:rFonts w:eastAsiaTheme="minorEastAsia" w:cstheme="minorBidi"/>
                  <w:color w:val="auto"/>
                  <w:kern w:val="2"/>
                  <w:sz w:val="24"/>
                  <w:szCs w:val="24"/>
                  <w14:ligatures w14:val="standardContextual"/>
                </w:rPr>
              </w:pPr>
              <w:hyperlink w:anchor="_Toc224130470" w:history="1">
                <w:r w:rsidRPr="00D15FB5">
                  <w:rPr>
                    <w:rStyle w:val="Hyperlink"/>
                  </w:rPr>
                  <w:t>6.5</w:t>
                </w:r>
                <w:r>
                  <w:rPr>
                    <w:rFonts w:eastAsiaTheme="minorEastAsia" w:cstheme="minorBidi"/>
                    <w:color w:val="auto"/>
                    <w:kern w:val="2"/>
                    <w:sz w:val="24"/>
                    <w:szCs w:val="24"/>
                    <w14:ligatures w14:val="standardContextual"/>
                  </w:rPr>
                  <w:tab/>
                </w:r>
                <w:r w:rsidRPr="00D15FB5">
                  <w:rPr>
                    <w:rStyle w:val="Hyperlink"/>
                  </w:rPr>
                  <w:t>Calculating the cost limit</w:t>
                </w:r>
                <w:r>
                  <w:rPr>
                    <w:webHidden/>
                  </w:rPr>
                  <w:tab/>
                </w:r>
                <w:r>
                  <w:rPr>
                    <w:webHidden/>
                  </w:rPr>
                  <w:fldChar w:fldCharType="begin"/>
                </w:r>
                <w:r>
                  <w:rPr>
                    <w:webHidden/>
                  </w:rPr>
                  <w:instrText xml:space="preserve"> PAGEREF _Toc224130470 \h </w:instrText>
                </w:r>
                <w:r>
                  <w:rPr>
                    <w:webHidden/>
                  </w:rPr>
                </w:r>
                <w:r>
                  <w:rPr>
                    <w:webHidden/>
                  </w:rPr>
                  <w:fldChar w:fldCharType="separate"/>
                </w:r>
                <w:r>
                  <w:rPr>
                    <w:webHidden/>
                  </w:rPr>
                  <w:t>7</w:t>
                </w:r>
                <w:r>
                  <w:rPr>
                    <w:webHidden/>
                  </w:rPr>
                  <w:fldChar w:fldCharType="end"/>
                </w:r>
              </w:hyperlink>
            </w:p>
            <w:p w14:paraId="68D18FD5" w14:textId="28295F4B" w:rsidR="00BC04D3" w:rsidRDefault="00BC04D3">
              <w:pPr>
                <w:pStyle w:val="TOC2"/>
                <w:rPr>
                  <w:rFonts w:eastAsiaTheme="minorEastAsia" w:cstheme="minorBidi"/>
                  <w:color w:val="auto"/>
                  <w:kern w:val="2"/>
                  <w:sz w:val="24"/>
                  <w:szCs w:val="24"/>
                  <w14:ligatures w14:val="standardContextual"/>
                </w:rPr>
              </w:pPr>
              <w:hyperlink w:anchor="_Toc224130471" w:history="1">
                <w:r w:rsidRPr="00D15FB5">
                  <w:rPr>
                    <w:rStyle w:val="Hyperlink"/>
                  </w:rPr>
                  <w:t>6.6</w:t>
                </w:r>
                <w:r>
                  <w:rPr>
                    <w:rFonts w:eastAsiaTheme="minorEastAsia" w:cstheme="minorBidi"/>
                    <w:color w:val="auto"/>
                    <w:kern w:val="2"/>
                    <w:sz w:val="24"/>
                    <w:szCs w:val="24"/>
                    <w14:ligatures w14:val="standardContextual"/>
                  </w:rPr>
                  <w:tab/>
                </w:r>
                <w:r w:rsidRPr="00D15FB5">
                  <w:rPr>
                    <w:rStyle w:val="Hyperlink"/>
                  </w:rPr>
                  <w:t>Consideration of Exemptions</w:t>
                </w:r>
                <w:r>
                  <w:rPr>
                    <w:webHidden/>
                  </w:rPr>
                  <w:tab/>
                </w:r>
                <w:r>
                  <w:rPr>
                    <w:webHidden/>
                  </w:rPr>
                  <w:fldChar w:fldCharType="begin"/>
                </w:r>
                <w:r>
                  <w:rPr>
                    <w:webHidden/>
                  </w:rPr>
                  <w:instrText xml:space="preserve"> PAGEREF _Toc224130471 \h </w:instrText>
                </w:r>
                <w:r>
                  <w:rPr>
                    <w:webHidden/>
                  </w:rPr>
                </w:r>
                <w:r>
                  <w:rPr>
                    <w:webHidden/>
                  </w:rPr>
                  <w:fldChar w:fldCharType="separate"/>
                </w:r>
                <w:r>
                  <w:rPr>
                    <w:webHidden/>
                  </w:rPr>
                  <w:t>7</w:t>
                </w:r>
                <w:r>
                  <w:rPr>
                    <w:webHidden/>
                  </w:rPr>
                  <w:fldChar w:fldCharType="end"/>
                </w:r>
              </w:hyperlink>
            </w:p>
            <w:p w14:paraId="4A87CBA0" w14:textId="7957E0FE" w:rsidR="00BC04D3" w:rsidRDefault="00BC04D3">
              <w:pPr>
                <w:pStyle w:val="TOC2"/>
                <w:rPr>
                  <w:rFonts w:eastAsiaTheme="minorEastAsia" w:cstheme="minorBidi"/>
                  <w:color w:val="auto"/>
                  <w:kern w:val="2"/>
                  <w:sz w:val="24"/>
                  <w:szCs w:val="24"/>
                  <w14:ligatures w14:val="standardContextual"/>
                </w:rPr>
              </w:pPr>
              <w:hyperlink w:anchor="_Toc224130472" w:history="1">
                <w:r w:rsidRPr="00D15FB5">
                  <w:rPr>
                    <w:rStyle w:val="Hyperlink"/>
                  </w:rPr>
                  <w:t>6.6.1 Applying the Public Interest Test and Time Extensions</w:t>
                </w:r>
                <w:r>
                  <w:rPr>
                    <w:webHidden/>
                  </w:rPr>
                  <w:tab/>
                </w:r>
                <w:r>
                  <w:rPr>
                    <w:webHidden/>
                  </w:rPr>
                  <w:fldChar w:fldCharType="begin"/>
                </w:r>
                <w:r>
                  <w:rPr>
                    <w:webHidden/>
                  </w:rPr>
                  <w:instrText xml:space="preserve"> PAGEREF _Toc224130472 \h </w:instrText>
                </w:r>
                <w:r>
                  <w:rPr>
                    <w:webHidden/>
                  </w:rPr>
                </w:r>
                <w:r>
                  <w:rPr>
                    <w:webHidden/>
                  </w:rPr>
                  <w:fldChar w:fldCharType="separate"/>
                </w:r>
                <w:r>
                  <w:rPr>
                    <w:webHidden/>
                  </w:rPr>
                  <w:t>8</w:t>
                </w:r>
                <w:r>
                  <w:rPr>
                    <w:webHidden/>
                  </w:rPr>
                  <w:fldChar w:fldCharType="end"/>
                </w:r>
              </w:hyperlink>
            </w:p>
            <w:p w14:paraId="569B8C85" w14:textId="53DE72EF" w:rsidR="00BC04D3" w:rsidRDefault="00BC04D3">
              <w:pPr>
                <w:pStyle w:val="TOC2"/>
                <w:rPr>
                  <w:rFonts w:eastAsiaTheme="minorEastAsia" w:cstheme="minorBidi"/>
                  <w:color w:val="auto"/>
                  <w:kern w:val="2"/>
                  <w:sz w:val="24"/>
                  <w:szCs w:val="24"/>
                  <w14:ligatures w14:val="standardContextual"/>
                </w:rPr>
              </w:pPr>
              <w:hyperlink w:anchor="_Toc224130473" w:history="1">
                <w:r w:rsidRPr="00D15FB5">
                  <w:rPr>
                    <w:rStyle w:val="Hyperlink"/>
                  </w:rPr>
                  <w:t>6.6.2 Requests for Information obtained from Third Parties</w:t>
                </w:r>
                <w:r>
                  <w:rPr>
                    <w:webHidden/>
                  </w:rPr>
                  <w:tab/>
                </w:r>
                <w:r>
                  <w:rPr>
                    <w:webHidden/>
                  </w:rPr>
                  <w:fldChar w:fldCharType="begin"/>
                </w:r>
                <w:r>
                  <w:rPr>
                    <w:webHidden/>
                  </w:rPr>
                  <w:instrText xml:space="preserve"> PAGEREF _Toc224130473 \h </w:instrText>
                </w:r>
                <w:r>
                  <w:rPr>
                    <w:webHidden/>
                  </w:rPr>
                </w:r>
                <w:r>
                  <w:rPr>
                    <w:webHidden/>
                  </w:rPr>
                  <w:fldChar w:fldCharType="separate"/>
                </w:r>
                <w:r>
                  <w:rPr>
                    <w:webHidden/>
                  </w:rPr>
                  <w:t>8</w:t>
                </w:r>
                <w:r>
                  <w:rPr>
                    <w:webHidden/>
                  </w:rPr>
                  <w:fldChar w:fldCharType="end"/>
                </w:r>
              </w:hyperlink>
            </w:p>
            <w:p w14:paraId="286AAA87" w14:textId="578B27CC" w:rsidR="00BC04D3" w:rsidRDefault="00BC04D3">
              <w:pPr>
                <w:pStyle w:val="TOC2"/>
                <w:rPr>
                  <w:rFonts w:eastAsiaTheme="minorEastAsia" w:cstheme="minorBidi"/>
                  <w:color w:val="auto"/>
                  <w:kern w:val="2"/>
                  <w:sz w:val="24"/>
                  <w:szCs w:val="24"/>
                  <w14:ligatures w14:val="standardContextual"/>
                </w:rPr>
              </w:pPr>
              <w:hyperlink w:anchor="_Toc224130474" w:history="1">
                <w:r w:rsidRPr="00D15FB5">
                  <w:rPr>
                    <w:rStyle w:val="Hyperlink"/>
                  </w:rPr>
                  <w:t>6.6.3 Requests that include Information on Individuals (employees or third parties)</w:t>
                </w:r>
                <w:r>
                  <w:rPr>
                    <w:webHidden/>
                  </w:rPr>
                  <w:tab/>
                </w:r>
                <w:r>
                  <w:rPr>
                    <w:webHidden/>
                  </w:rPr>
                  <w:fldChar w:fldCharType="begin"/>
                </w:r>
                <w:r>
                  <w:rPr>
                    <w:webHidden/>
                  </w:rPr>
                  <w:instrText xml:space="preserve"> PAGEREF _Toc224130474 \h </w:instrText>
                </w:r>
                <w:r>
                  <w:rPr>
                    <w:webHidden/>
                  </w:rPr>
                </w:r>
                <w:r>
                  <w:rPr>
                    <w:webHidden/>
                  </w:rPr>
                  <w:fldChar w:fldCharType="separate"/>
                </w:r>
                <w:r>
                  <w:rPr>
                    <w:webHidden/>
                  </w:rPr>
                  <w:t>8</w:t>
                </w:r>
                <w:r>
                  <w:rPr>
                    <w:webHidden/>
                  </w:rPr>
                  <w:fldChar w:fldCharType="end"/>
                </w:r>
              </w:hyperlink>
            </w:p>
            <w:p w14:paraId="1F1CB936" w14:textId="00A2EEE3" w:rsidR="00BC04D3" w:rsidRDefault="00BC04D3">
              <w:pPr>
                <w:pStyle w:val="TOC2"/>
                <w:rPr>
                  <w:rFonts w:eastAsiaTheme="minorEastAsia" w:cstheme="minorBidi"/>
                  <w:color w:val="auto"/>
                  <w:kern w:val="2"/>
                  <w:sz w:val="24"/>
                  <w:szCs w:val="24"/>
                  <w14:ligatures w14:val="standardContextual"/>
                </w:rPr>
              </w:pPr>
              <w:hyperlink w:anchor="_Toc224130475" w:history="1">
                <w:r w:rsidRPr="00D15FB5">
                  <w:rPr>
                    <w:rStyle w:val="Hyperlink"/>
                  </w:rPr>
                  <w:t>6.7</w:t>
                </w:r>
                <w:r>
                  <w:rPr>
                    <w:rFonts w:eastAsiaTheme="minorEastAsia" w:cstheme="minorBidi"/>
                    <w:color w:val="auto"/>
                    <w:kern w:val="2"/>
                    <w:sz w:val="24"/>
                    <w:szCs w:val="24"/>
                    <w14:ligatures w14:val="standardContextual"/>
                  </w:rPr>
                  <w:tab/>
                </w:r>
                <w:r w:rsidRPr="00D15FB5">
                  <w:rPr>
                    <w:rStyle w:val="Hyperlink"/>
                  </w:rPr>
                  <w:t>Providing a response</w:t>
                </w:r>
                <w:r>
                  <w:rPr>
                    <w:webHidden/>
                  </w:rPr>
                  <w:tab/>
                </w:r>
                <w:r>
                  <w:rPr>
                    <w:webHidden/>
                  </w:rPr>
                  <w:fldChar w:fldCharType="begin"/>
                </w:r>
                <w:r>
                  <w:rPr>
                    <w:webHidden/>
                  </w:rPr>
                  <w:instrText xml:space="preserve"> PAGEREF _Toc224130475 \h </w:instrText>
                </w:r>
                <w:r>
                  <w:rPr>
                    <w:webHidden/>
                  </w:rPr>
                </w:r>
                <w:r>
                  <w:rPr>
                    <w:webHidden/>
                  </w:rPr>
                  <w:fldChar w:fldCharType="separate"/>
                </w:r>
                <w:r>
                  <w:rPr>
                    <w:webHidden/>
                  </w:rPr>
                  <w:t>9</w:t>
                </w:r>
                <w:r>
                  <w:rPr>
                    <w:webHidden/>
                  </w:rPr>
                  <w:fldChar w:fldCharType="end"/>
                </w:r>
              </w:hyperlink>
            </w:p>
            <w:p w14:paraId="2BFA20FD" w14:textId="473559DE" w:rsidR="00BC04D3" w:rsidRDefault="00BC04D3">
              <w:pPr>
                <w:pStyle w:val="TOC2"/>
                <w:rPr>
                  <w:rFonts w:eastAsiaTheme="minorEastAsia" w:cstheme="minorBidi"/>
                  <w:color w:val="auto"/>
                  <w:kern w:val="2"/>
                  <w:sz w:val="24"/>
                  <w:szCs w:val="24"/>
                  <w14:ligatures w14:val="standardContextual"/>
                </w:rPr>
              </w:pPr>
              <w:hyperlink w:anchor="_Toc224130476" w:history="1">
                <w:r w:rsidRPr="00D15FB5">
                  <w:rPr>
                    <w:rStyle w:val="Hyperlink"/>
                  </w:rPr>
                  <w:t>6.7.1 Redacting Information and small number suppression</w:t>
                </w:r>
                <w:r>
                  <w:rPr>
                    <w:webHidden/>
                  </w:rPr>
                  <w:tab/>
                </w:r>
                <w:r>
                  <w:rPr>
                    <w:webHidden/>
                  </w:rPr>
                  <w:fldChar w:fldCharType="begin"/>
                </w:r>
                <w:r>
                  <w:rPr>
                    <w:webHidden/>
                  </w:rPr>
                  <w:instrText xml:space="preserve"> PAGEREF _Toc224130476 \h </w:instrText>
                </w:r>
                <w:r>
                  <w:rPr>
                    <w:webHidden/>
                  </w:rPr>
                </w:r>
                <w:r>
                  <w:rPr>
                    <w:webHidden/>
                  </w:rPr>
                  <w:fldChar w:fldCharType="separate"/>
                </w:r>
                <w:r>
                  <w:rPr>
                    <w:webHidden/>
                  </w:rPr>
                  <w:t>9</w:t>
                </w:r>
                <w:r>
                  <w:rPr>
                    <w:webHidden/>
                  </w:rPr>
                  <w:fldChar w:fldCharType="end"/>
                </w:r>
              </w:hyperlink>
            </w:p>
            <w:p w14:paraId="35D0519E" w14:textId="08043DFF" w:rsidR="00BC04D3" w:rsidRDefault="00BC04D3">
              <w:pPr>
                <w:pStyle w:val="TOC2"/>
                <w:rPr>
                  <w:rFonts w:eastAsiaTheme="minorEastAsia" w:cstheme="minorBidi"/>
                  <w:color w:val="auto"/>
                  <w:kern w:val="2"/>
                  <w:sz w:val="24"/>
                  <w:szCs w:val="24"/>
                  <w14:ligatures w14:val="standardContextual"/>
                </w:rPr>
              </w:pPr>
              <w:hyperlink w:anchor="_Toc224130477" w:history="1">
                <w:r w:rsidRPr="00D15FB5">
                  <w:rPr>
                    <w:rStyle w:val="Hyperlink"/>
                  </w:rPr>
                  <w:t>6.7.2 Requests for Information not held by the organisation</w:t>
                </w:r>
                <w:r>
                  <w:rPr>
                    <w:webHidden/>
                  </w:rPr>
                  <w:tab/>
                </w:r>
                <w:r>
                  <w:rPr>
                    <w:webHidden/>
                  </w:rPr>
                  <w:fldChar w:fldCharType="begin"/>
                </w:r>
                <w:r>
                  <w:rPr>
                    <w:webHidden/>
                  </w:rPr>
                  <w:instrText xml:space="preserve"> PAGEREF _Toc224130477 \h </w:instrText>
                </w:r>
                <w:r>
                  <w:rPr>
                    <w:webHidden/>
                  </w:rPr>
                </w:r>
                <w:r>
                  <w:rPr>
                    <w:webHidden/>
                  </w:rPr>
                  <w:fldChar w:fldCharType="separate"/>
                </w:r>
                <w:r>
                  <w:rPr>
                    <w:webHidden/>
                  </w:rPr>
                  <w:t>9</w:t>
                </w:r>
                <w:r>
                  <w:rPr>
                    <w:webHidden/>
                  </w:rPr>
                  <w:fldChar w:fldCharType="end"/>
                </w:r>
              </w:hyperlink>
            </w:p>
            <w:p w14:paraId="13D7EDB9" w14:textId="7DA2CEEF" w:rsidR="00BC04D3" w:rsidRDefault="00BC04D3">
              <w:pPr>
                <w:pStyle w:val="TOC2"/>
                <w:rPr>
                  <w:rFonts w:eastAsiaTheme="minorEastAsia" w:cstheme="minorBidi"/>
                  <w:color w:val="auto"/>
                  <w:kern w:val="2"/>
                  <w:sz w:val="24"/>
                  <w:szCs w:val="24"/>
                  <w14:ligatures w14:val="standardContextual"/>
                </w:rPr>
              </w:pPr>
              <w:hyperlink w:anchor="_Toc224130478" w:history="1">
                <w:r w:rsidRPr="00D15FB5">
                  <w:rPr>
                    <w:rStyle w:val="Hyperlink"/>
                  </w:rPr>
                  <w:t>6.8</w:t>
                </w:r>
                <w:r>
                  <w:rPr>
                    <w:rFonts w:eastAsiaTheme="minorEastAsia" w:cstheme="minorBidi"/>
                    <w:color w:val="auto"/>
                    <w:kern w:val="2"/>
                    <w:sz w:val="24"/>
                    <w:szCs w:val="24"/>
                    <w14:ligatures w14:val="standardContextual"/>
                  </w:rPr>
                  <w:tab/>
                </w:r>
                <w:r w:rsidRPr="00D15FB5">
                  <w:rPr>
                    <w:rStyle w:val="Hyperlink"/>
                  </w:rPr>
                  <w:t>Complaints, Reviews and Appeals</w:t>
                </w:r>
                <w:r>
                  <w:rPr>
                    <w:webHidden/>
                  </w:rPr>
                  <w:tab/>
                </w:r>
                <w:r>
                  <w:rPr>
                    <w:webHidden/>
                  </w:rPr>
                  <w:fldChar w:fldCharType="begin"/>
                </w:r>
                <w:r>
                  <w:rPr>
                    <w:webHidden/>
                  </w:rPr>
                  <w:instrText xml:space="preserve"> PAGEREF _Toc224130478 \h </w:instrText>
                </w:r>
                <w:r>
                  <w:rPr>
                    <w:webHidden/>
                  </w:rPr>
                </w:r>
                <w:r>
                  <w:rPr>
                    <w:webHidden/>
                  </w:rPr>
                  <w:fldChar w:fldCharType="separate"/>
                </w:r>
                <w:r>
                  <w:rPr>
                    <w:webHidden/>
                  </w:rPr>
                  <w:t>10</w:t>
                </w:r>
                <w:r>
                  <w:rPr>
                    <w:webHidden/>
                  </w:rPr>
                  <w:fldChar w:fldCharType="end"/>
                </w:r>
              </w:hyperlink>
            </w:p>
            <w:p w14:paraId="5DC78515" w14:textId="40F9490D" w:rsidR="00BC04D3" w:rsidRDefault="00BC04D3">
              <w:pPr>
                <w:pStyle w:val="TOC2"/>
                <w:rPr>
                  <w:rFonts w:eastAsiaTheme="minorEastAsia" w:cstheme="minorBidi"/>
                  <w:color w:val="auto"/>
                  <w:kern w:val="2"/>
                  <w:sz w:val="24"/>
                  <w:szCs w:val="24"/>
                  <w14:ligatures w14:val="standardContextual"/>
                </w:rPr>
              </w:pPr>
              <w:hyperlink w:anchor="_Toc224130479" w:history="1">
                <w:r w:rsidRPr="00D15FB5">
                  <w:rPr>
                    <w:rStyle w:val="Hyperlink"/>
                  </w:rPr>
                  <w:t>6.8.1 Complaints</w:t>
                </w:r>
                <w:r>
                  <w:rPr>
                    <w:webHidden/>
                  </w:rPr>
                  <w:tab/>
                </w:r>
                <w:r>
                  <w:rPr>
                    <w:webHidden/>
                  </w:rPr>
                  <w:fldChar w:fldCharType="begin"/>
                </w:r>
                <w:r>
                  <w:rPr>
                    <w:webHidden/>
                  </w:rPr>
                  <w:instrText xml:space="preserve"> PAGEREF _Toc224130479 \h </w:instrText>
                </w:r>
                <w:r>
                  <w:rPr>
                    <w:webHidden/>
                  </w:rPr>
                </w:r>
                <w:r>
                  <w:rPr>
                    <w:webHidden/>
                  </w:rPr>
                  <w:fldChar w:fldCharType="separate"/>
                </w:r>
                <w:r>
                  <w:rPr>
                    <w:webHidden/>
                  </w:rPr>
                  <w:t>10</w:t>
                </w:r>
                <w:r>
                  <w:rPr>
                    <w:webHidden/>
                  </w:rPr>
                  <w:fldChar w:fldCharType="end"/>
                </w:r>
              </w:hyperlink>
            </w:p>
            <w:p w14:paraId="4A495D48" w14:textId="258408D8" w:rsidR="00BC04D3" w:rsidRDefault="00BC04D3">
              <w:pPr>
                <w:pStyle w:val="TOC2"/>
                <w:rPr>
                  <w:rFonts w:eastAsiaTheme="minorEastAsia" w:cstheme="minorBidi"/>
                  <w:color w:val="auto"/>
                  <w:kern w:val="2"/>
                  <w:sz w:val="24"/>
                  <w:szCs w:val="24"/>
                  <w14:ligatures w14:val="standardContextual"/>
                </w:rPr>
              </w:pPr>
              <w:hyperlink w:anchor="_Toc224130480" w:history="1">
                <w:r w:rsidRPr="00D15FB5">
                  <w:rPr>
                    <w:rStyle w:val="Hyperlink"/>
                  </w:rPr>
                  <w:t>6.8.2 Reviews</w:t>
                </w:r>
                <w:r>
                  <w:rPr>
                    <w:webHidden/>
                  </w:rPr>
                  <w:tab/>
                </w:r>
                <w:r>
                  <w:rPr>
                    <w:webHidden/>
                  </w:rPr>
                  <w:fldChar w:fldCharType="begin"/>
                </w:r>
                <w:r>
                  <w:rPr>
                    <w:webHidden/>
                  </w:rPr>
                  <w:instrText xml:space="preserve"> PAGEREF _Toc224130480 \h </w:instrText>
                </w:r>
                <w:r>
                  <w:rPr>
                    <w:webHidden/>
                  </w:rPr>
                </w:r>
                <w:r>
                  <w:rPr>
                    <w:webHidden/>
                  </w:rPr>
                  <w:fldChar w:fldCharType="separate"/>
                </w:r>
                <w:r>
                  <w:rPr>
                    <w:webHidden/>
                  </w:rPr>
                  <w:t>10</w:t>
                </w:r>
                <w:r>
                  <w:rPr>
                    <w:webHidden/>
                  </w:rPr>
                  <w:fldChar w:fldCharType="end"/>
                </w:r>
              </w:hyperlink>
            </w:p>
            <w:p w14:paraId="7B8C6726" w14:textId="127A6126" w:rsidR="00BC04D3" w:rsidRDefault="00BC04D3">
              <w:pPr>
                <w:pStyle w:val="TOC2"/>
                <w:rPr>
                  <w:rFonts w:eastAsiaTheme="minorEastAsia" w:cstheme="minorBidi"/>
                  <w:color w:val="auto"/>
                  <w:kern w:val="2"/>
                  <w:sz w:val="24"/>
                  <w:szCs w:val="24"/>
                  <w14:ligatures w14:val="standardContextual"/>
                </w:rPr>
              </w:pPr>
              <w:hyperlink w:anchor="_Toc224130481" w:history="1">
                <w:r w:rsidRPr="00D15FB5">
                  <w:rPr>
                    <w:rStyle w:val="Hyperlink"/>
                  </w:rPr>
                  <w:t>6.8.3 ICO Complaints and Appeals</w:t>
                </w:r>
                <w:r>
                  <w:rPr>
                    <w:webHidden/>
                  </w:rPr>
                  <w:tab/>
                </w:r>
                <w:r>
                  <w:rPr>
                    <w:webHidden/>
                  </w:rPr>
                  <w:fldChar w:fldCharType="begin"/>
                </w:r>
                <w:r>
                  <w:rPr>
                    <w:webHidden/>
                  </w:rPr>
                  <w:instrText xml:space="preserve"> PAGEREF _Toc224130481 \h </w:instrText>
                </w:r>
                <w:r>
                  <w:rPr>
                    <w:webHidden/>
                  </w:rPr>
                </w:r>
                <w:r>
                  <w:rPr>
                    <w:webHidden/>
                  </w:rPr>
                  <w:fldChar w:fldCharType="separate"/>
                </w:r>
                <w:r>
                  <w:rPr>
                    <w:webHidden/>
                  </w:rPr>
                  <w:t>10</w:t>
                </w:r>
                <w:r>
                  <w:rPr>
                    <w:webHidden/>
                  </w:rPr>
                  <w:fldChar w:fldCharType="end"/>
                </w:r>
              </w:hyperlink>
            </w:p>
            <w:p w14:paraId="545E0E65" w14:textId="674F0C20" w:rsidR="00BC04D3" w:rsidRDefault="00BC04D3">
              <w:pPr>
                <w:pStyle w:val="TOC2"/>
                <w:rPr>
                  <w:rFonts w:eastAsiaTheme="minorEastAsia" w:cstheme="minorBidi"/>
                  <w:color w:val="auto"/>
                  <w:kern w:val="2"/>
                  <w:sz w:val="24"/>
                  <w:szCs w:val="24"/>
                  <w14:ligatures w14:val="standardContextual"/>
                </w:rPr>
              </w:pPr>
              <w:hyperlink w:anchor="_Toc224130482" w:history="1">
                <w:r w:rsidRPr="00D15FB5">
                  <w:rPr>
                    <w:rStyle w:val="Hyperlink"/>
                  </w:rPr>
                  <w:t>6.9</w:t>
                </w:r>
                <w:r>
                  <w:rPr>
                    <w:rFonts w:eastAsiaTheme="minorEastAsia" w:cstheme="minorBidi"/>
                    <w:color w:val="auto"/>
                    <w:kern w:val="2"/>
                    <w:sz w:val="24"/>
                    <w:szCs w:val="24"/>
                    <w14:ligatures w14:val="standardContextual"/>
                  </w:rPr>
                  <w:tab/>
                </w:r>
                <w:r w:rsidRPr="00D15FB5">
                  <w:rPr>
                    <w:rStyle w:val="Hyperlink"/>
                  </w:rPr>
                  <w:t>Retention</w:t>
                </w:r>
                <w:r>
                  <w:rPr>
                    <w:webHidden/>
                  </w:rPr>
                  <w:tab/>
                </w:r>
                <w:r>
                  <w:rPr>
                    <w:webHidden/>
                  </w:rPr>
                  <w:fldChar w:fldCharType="begin"/>
                </w:r>
                <w:r>
                  <w:rPr>
                    <w:webHidden/>
                  </w:rPr>
                  <w:instrText xml:space="preserve"> PAGEREF _Toc224130482 \h </w:instrText>
                </w:r>
                <w:r>
                  <w:rPr>
                    <w:webHidden/>
                  </w:rPr>
                </w:r>
                <w:r>
                  <w:rPr>
                    <w:webHidden/>
                  </w:rPr>
                  <w:fldChar w:fldCharType="separate"/>
                </w:r>
                <w:r>
                  <w:rPr>
                    <w:webHidden/>
                  </w:rPr>
                  <w:t>10</w:t>
                </w:r>
                <w:r>
                  <w:rPr>
                    <w:webHidden/>
                  </w:rPr>
                  <w:fldChar w:fldCharType="end"/>
                </w:r>
              </w:hyperlink>
            </w:p>
            <w:p w14:paraId="375B209E" w14:textId="01500617" w:rsidR="00BC04D3" w:rsidRDefault="00BC04D3">
              <w:pPr>
                <w:pStyle w:val="TOC2"/>
                <w:rPr>
                  <w:rFonts w:eastAsiaTheme="minorEastAsia" w:cstheme="minorBidi"/>
                  <w:color w:val="auto"/>
                  <w:kern w:val="2"/>
                  <w:sz w:val="24"/>
                  <w:szCs w:val="24"/>
                  <w14:ligatures w14:val="standardContextual"/>
                </w:rPr>
              </w:pPr>
              <w:hyperlink w:anchor="_Toc224130483" w:history="1">
                <w:r w:rsidRPr="00D15FB5">
                  <w:rPr>
                    <w:rStyle w:val="Hyperlink"/>
                  </w:rPr>
                  <w:t>6.10</w:t>
                </w:r>
                <w:r>
                  <w:rPr>
                    <w:rFonts w:eastAsiaTheme="minorEastAsia" w:cstheme="minorBidi"/>
                    <w:color w:val="auto"/>
                    <w:kern w:val="2"/>
                    <w:sz w:val="24"/>
                    <w:szCs w:val="24"/>
                    <w14:ligatures w14:val="standardContextual"/>
                  </w:rPr>
                  <w:tab/>
                </w:r>
                <w:r w:rsidRPr="00D15FB5">
                  <w:rPr>
                    <w:rStyle w:val="Hyperlink"/>
                  </w:rPr>
                  <w:t>Disclosure Log</w:t>
                </w:r>
                <w:r>
                  <w:rPr>
                    <w:webHidden/>
                  </w:rPr>
                  <w:tab/>
                </w:r>
                <w:r>
                  <w:rPr>
                    <w:webHidden/>
                  </w:rPr>
                  <w:fldChar w:fldCharType="begin"/>
                </w:r>
                <w:r>
                  <w:rPr>
                    <w:webHidden/>
                  </w:rPr>
                  <w:instrText xml:space="preserve"> PAGEREF _Toc224130483 \h </w:instrText>
                </w:r>
                <w:r>
                  <w:rPr>
                    <w:webHidden/>
                  </w:rPr>
                </w:r>
                <w:r>
                  <w:rPr>
                    <w:webHidden/>
                  </w:rPr>
                  <w:fldChar w:fldCharType="separate"/>
                </w:r>
                <w:r>
                  <w:rPr>
                    <w:webHidden/>
                  </w:rPr>
                  <w:t>10</w:t>
                </w:r>
                <w:r>
                  <w:rPr>
                    <w:webHidden/>
                  </w:rPr>
                  <w:fldChar w:fldCharType="end"/>
                </w:r>
              </w:hyperlink>
            </w:p>
            <w:p w14:paraId="3DFF24C4" w14:textId="69B9FBD8" w:rsidR="00BC04D3" w:rsidRDefault="00BC04D3">
              <w:pPr>
                <w:pStyle w:val="TOC2"/>
                <w:rPr>
                  <w:rFonts w:eastAsiaTheme="minorEastAsia" w:cstheme="minorBidi"/>
                  <w:color w:val="auto"/>
                  <w:kern w:val="2"/>
                  <w:sz w:val="24"/>
                  <w:szCs w:val="24"/>
                  <w14:ligatures w14:val="standardContextual"/>
                </w:rPr>
              </w:pPr>
              <w:hyperlink w:anchor="_Toc224130484" w:history="1">
                <w:r w:rsidRPr="00D15FB5">
                  <w:rPr>
                    <w:rStyle w:val="Hyperlink"/>
                  </w:rPr>
                  <w:t>6.11 Publication Scheme</w:t>
                </w:r>
                <w:r>
                  <w:rPr>
                    <w:webHidden/>
                  </w:rPr>
                  <w:tab/>
                </w:r>
                <w:r>
                  <w:rPr>
                    <w:webHidden/>
                  </w:rPr>
                  <w:fldChar w:fldCharType="begin"/>
                </w:r>
                <w:r>
                  <w:rPr>
                    <w:webHidden/>
                  </w:rPr>
                  <w:instrText xml:space="preserve"> PAGEREF _Toc224130484 \h </w:instrText>
                </w:r>
                <w:r>
                  <w:rPr>
                    <w:webHidden/>
                  </w:rPr>
                </w:r>
                <w:r>
                  <w:rPr>
                    <w:webHidden/>
                  </w:rPr>
                  <w:fldChar w:fldCharType="separate"/>
                </w:r>
                <w:r>
                  <w:rPr>
                    <w:webHidden/>
                  </w:rPr>
                  <w:t>11</w:t>
                </w:r>
                <w:r>
                  <w:rPr>
                    <w:webHidden/>
                  </w:rPr>
                  <w:fldChar w:fldCharType="end"/>
                </w:r>
              </w:hyperlink>
            </w:p>
            <w:p w14:paraId="0032451B" w14:textId="4D3B4D89" w:rsidR="00BC04D3" w:rsidRDefault="00BC04D3">
              <w:pPr>
                <w:pStyle w:val="TOC1"/>
                <w:rPr>
                  <w:rFonts w:eastAsiaTheme="minorEastAsia" w:cstheme="minorBidi"/>
                  <w:b w:val="0"/>
                  <w:bCs w:val="0"/>
                  <w:color w:val="auto"/>
                  <w:kern w:val="2"/>
                  <w:sz w:val="24"/>
                  <w:szCs w:val="24"/>
                  <w:lang w:eastAsia="en-GB"/>
                  <w14:ligatures w14:val="standardContextual"/>
                </w:rPr>
              </w:pPr>
              <w:hyperlink w:anchor="_Toc224130485" w:history="1">
                <w:r w:rsidRPr="00D15FB5">
                  <w:rPr>
                    <w:rStyle w:val="Hyperlink"/>
                  </w:rPr>
                  <w:t>8.</w:t>
                </w:r>
                <w:r>
                  <w:rPr>
                    <w:rFonts w:eastAsiaTheme="minorEastAsia" w:cstheme="minorBidi"/>
                    <w:b w:val="0"/>
                    <w:bCs w:val="0"/>
                    <w:color w:val="auto"/>
                    <w:kern w:val="2"/>
                    <w:sz w:val="24"/>
                    <w:szCs w:val="24"/>
                    <w:lang w:eastAsia="en-GB"/>
                    <w14:ligatures w14:val="standardContextual"/>
                  </w:rPr>
                  <w:tab/>
                </w:r>
                <w:r w:rsidRPr="00D15FB5">
                  <w:rPr>
                    <w:rStyle w:val="Hyperlink"/>
                  </w:rPr>
                  <w:t>7. Review</w:t>
                </w:r>
                <w:r>
                  <w:rPr>
                    <w:webHidden/>
                  </w:rPr>
                  <w:tab/>
                </w:r>
                <w:r>
                  <w:rPr>
                    <w:webHidden/>
                  </w:rPr>
                  <w:fldChar w:fldCharType="begin"/>
                </w:r>
                <w:r>
                  <w:rPr>
                    <w:webHidden/>
                  </w:rPr>
                  <w:instrText xml:space="preserve"> PAGEREF _Toc224130485 \h </w:instrText>
                </w:r>
                <w:r>
                  <w:rPr>
                    <w:webHidden/>
                  </w:rPr>
                </w:r>
                <w:r>
                  <w:rPr>
                    <w:webHidden/>
                  </w:rPr>
                  <w:fldChar w:fldCharType="separate"/>
                </w:r>
                <w:r>
                  <w:rPr>
                    <w:webHidden/>
                  </w:rPr>
                  <w:t>11</w:t>
                </w:r>
                <w:r>
                  <w:rPr>
                    <w:webHidden/>
                  </w:rPr>
                  <w:fldChar w:fldCharType="end"/>
                </w:r>
              </w:hyperlink>
            </w:p>
            <w:p w14:paraId="2391BE61" w14:textId="48F625A3" w:rsidR="00BC04D3" w:rsidRDefault="00BC04D3">
              <w:pPr>
                <w:pStyle w:val="TOC1"/>
                <w:rPr>
                  <w:rFonts w:eastAsiaTheme="minorEastAsia" w:cstheme="minorBidi"/>
                  <w:b w:val="0"/>
                  <w:bCs w:val="0"/>
                  <w:color w:val="auto"/>
                  <w:kern w:val="2"/>
                  <w:sz w:val="24"/>
                  <w:szCs w:val="24"/>
                  <w:lang w:eastAsia="en-GB"/>
                  <w14:ligatures w14:val="standardContextual"/>
                </w:rPr>
              </w:pPr>
              <w:hyperlink w:anchor="_Toc224130486" w:history="1">
                <w:r w:rsidRPr="00D15FB5">
                  <w:rPr>
                    <w:rStyle w:val="Hyperlink"/>
                  </w:rPr>
                  <w:t>9.</w:t>
                </w:r>
                <w:r>
                  <w:rPr>
                    <w:rFonts w:eastAsiaTheme="minorEastAsia" w:cstheme="minorBidi"/>
                    <w:b w:val="0"/>
                    <w:bCs w:val="0"/>
                    <w:color w:val="auto"/>
                    <w:kern w:val="2"/>
                    <w:sz w:val="24"/>
                    <w:szCs w:val="24"/>
                    <w:lang w:eastAsia="en-GB"/>
                    <w14:ligatures w14:val="standardContextual"/>
                  </w:rPr>
                  <w:tab/>
                </w:r>
                <w:r w:rsidRPr="00D15FB5">
                  <w:rPr>
                    <w:rStyle w:val="Hyperlink"/>
                  </w:rPr>
                  <w:t>Annex A – Freedom of Information Exemptions</w:t>
                </w:r>
                <w:r>
                  <w:rPr>
                    <w:webHidden/>
                  </w:rPr>
                  <w:tab/>
                </w:r>
                <w:r>
                  <w:rPr>
                    <w:webHidden/>
                  </w:rPr>
                  <w:fldChar w:fldCharType="begin"/>
                </w:r>
                <w:r>
                  <w:rPr>
                    <w:webHidden/>
                  </w:rPr>
                  <w:instrText xml:space="preserve"> PAGEREF _Toc224130486 \h </w:instrText>
                </w:r>
                <w:r>
                  <w:rPr>
                    <w:webHidden/>
                  </w:rPr>
                </w:r>
                <w:r>
                  <w:rPr>
                    <w:webHidden/>
                  </w:rPr>
                  <w:fldChar w:fldCharType="separate"/>
                </w:r>
                <w:r>
                  <w:rPr>
                    <w:webHidden/>
                  </w:rPr>
                  <w:t>12</w:t>
                </w:r>
                <w:r>
                  <w:rPr>
                    <w:webHidden/>
                  </w:rPr>
                  <w:fldChar w:fldCharType="end"/>
                </w:r>
              </w:hyperlink>
            </w:p>
            <w:p w14:paraId="2941511A" w14:textId="1E13BE9F" w:rsidR="00BC04D3" w:rsidRDefault="00BC04D3">
              <w:pPr>
                <w:pStyle w:val="TOC2"/>
                <w:rPr>
                  <w:rFonts w:eastAsiaTheme="minorEastAsia" w:cstheme="minorBidi"/>
                  <w:color w:val="auto"/>
                  <w:kern w:val="2"/>
                  <w:sz w:val="24"/>
                  <w:szCs w:val="24"/>
                  <w14:ligatures w14:val="standardContextual"/>
                </w:rPr>
              </w:pPr>
              <w:hyperlink w:anchor="_Toc224130487" w:history="1">
                <w:r w:rsidRPr="00D15FB5">
                  <w:rPr>
                    <w:rStyle w:val="Hyperlink"/>
                  </w:rPr>
                  <w:t>Absolute exemptions</w:t>
                </w:r>
                <w:r>
                  <w:rPr>
                    <w:webHidden/>
                  </w:rPr>
                  <w:tab/>
                </w:r>
                <w:r>
                  <w:rPr>
                    <w:webHidden/>
                  </w:rPr>
                  <w:fldChar w:fldCharType="begin"/>
                </w:r>
                <w:r>
                  <w:rPr>
                    <w:webHidden/>
                  </w:rPr>
                  <w:instrText xml:space="preserve"> PAGEREF _Toc224130487 \h </w:instrText>
                </w:r>
                <w:r>
                  <w:rPr>
                    <w:webHidden/>
                  </w:rPr>
                </w:r>
                <w:r>
                  <w:rPr>
                    <w:webHidden/>
                  </w:rPr>
                  <w:fldChar w:fldCharType="separate"/>
                </w:r>
                <w:r>
                  <w:rPr>
                    <w:webHidden/>
                  </w:rPr>
                  <w:t>12</w:t>
                </w:r>
                <w:r>
                  <w:rPr>
                    <w:webHidden/>
                  </w:rPr>
                  <w:fldChar w:fldCharType="end"/>
                </w:r>
              </w:hyperlink>
            </w:p>
            <w:p w14:paraId="49D12DB5" w14:textId="5955CA5C" w:rsidR="00BC04D3" w:rsidRDefault="00BC04D3">
              <w:pPr>
                <w:pStyle w:val="TOC2"/>
                <w:rPr>
                  <w:rFonts w:eastAsiaTheme="minorEastAsia" w:cstheme="minorBidi"/>
                  <w:color w:val="auto"/>
                  <w:kern w:val="2"/>
                  <w:sz w:val="24"/>
                  <w:szCs w:val="24"/>
                  <w14:ligatures w14:val="standardContextual"/>
                </w:rPr>
              </w:pPr>
              <w:hyperlink w:anchor="_Toc224130488" w:history="1">
                <w:r w:rsidRPr="00D15FB5">
                  <w:rPr>
                    <w:rStyle w:val="Hyperlink"/>
                  </w:rPr>
                  <w:t>Qualified exemptions</w:t>
                </w:r>
                <w:r>
                  <w:rPr>
                    <w:webHidden/>
                  </w:rPr>
                  <w:tab/>
                </w:r>
                <w:r>
                  <w:rPr>
                    <w:webHidden/>
                  </w:rPr>
                  <w:fldChar w:fldCharType="begin"/>
                </w:r>
                <w:r>
                  <w:rPr>
                    <w:webHidden/>
                  </w:rPr>
                  <w:instrText xml:space="preserve"> PAGEREF _Toc224130488 \h </w:instrText>
                </w:r>
                <w:r>
                  <w:rPr>
                    <w:webHidden/>
                  </w:rPr>
                </w:r>
                <w:r>
                  <w:rPr>
                    <w:webHidden/>
                  </w:rPr>
                  <w:fldChar w:fldCharType="separate"/>
                </w:r>
                <w:r>
                  <w:rPr>
                    <w:webHidden/>
                  </w:rPr>
                  <w:t>13</w:t>
                </w:r>
                <w:r>
                  <w:rPr>
                    <w:webHidden/>
                  </w:rPr>
                  <w:fldChar w:fldCharType="end"/>
                </w:r>
              </w:hyperlink>
            </w:p>
            <w:p w14:paraId="78D35BBB" w14:textId="1C72FEF9" w:rsidR="00BC04D3" w:rsidRDefault="00BC04D3">
              <w:pPr>
                <w:pStyle w:val="TOC1"/>
                <w:rPr>
                  <w:rFonts w:eastAsiaTheme="minorEastAsia" w:cstheme="minorBidi"/>
                  <w:b w:val="0"/>
                  <w:bCs w:val="0"/>
                  <w:color w:val="auto"/>
                  <w:kern w:val="2"/>
                  <w:sz w:val="24"/>
                  <w:szCs w:val="24"/>
                  <w:lang w:eastAsia="en-GB"/>
                  <w14:ligatures w14:val="standardContextual"/>
                </w:rPr>
              </w:pPr>
              <w:hyperlink w:anchor="_Toc224130489" w:history="1">
                <w:r w:rsidRPr="00D15FB5">
                  <w:rPr>
                    <w:rStyle w:val="Hyperlink"/>
                  </w:rPr>
                  <w:t>10.</w:t>
                </w:r>
                <w:r>
                  <w:rPr>
                    <w:rFonts w:eastAsiaTheme="minorEastAsia" w:cstheme="minorBidi"/>
                    <w:b w:val="0"/>
                    <w:bCs w:val="0"/>
                    <w:color w:val="auto"/>
                    <w:kern w:val="2"/>
                    <w:sz w:val="24"/>
                    <w:szCs w:val="24"/>
                    <w:lang w:eastAsia="en-GB"/>
                    <w14:ligatures w14:val="standardContextual"/>
                  </w:rPr>
                  <w:tab/>
                </w:r>
                <w:r w:rsidRPr="00D15FB5">
                  <w:rPr>
                    <w:rStyle w:val="Hyperlink"/>
                  </w:rPr>
                  <w:t>Annex B – Environmental Information Regulation Exceptions</w:t>
                </w:r>
                <w:r>
                  <w:rPr>
                    <w:webHidden/>
                  </w:rPr>
                  <w:tab/>
                </w:r>
                <w:r>
                  <w:rPr>
                    <w:webHidden/>
                  </w:rPr>
                  <w:fldChar w:fldCharType="begin"/>
                </w:r>
                <w:r>
                  <w:rPr>
                    <w:webHidden/>
                  </w:rPr>
                  <w:instrText xml:space="preserve"> PAGEREF _Toc224130489 \h </w:instrText>
                </w:r>
                <w:r>
                  <w:rPr>
                    <w:webHidden/>
                  </w:rPr>
                </w:r>
                <w:r>
                  <w:rPr>
                    <w:webHidden/>
                  </w:rPr>
                  <w:fldChar w:fldCharType="separate"/>
                </w:r>
                <w:r>
                  <w:rPr>
                    <w:webHidden/>
                  </w:rPr>
                  <w:t>15</w:t>
                </w:r>
                <w:r>
                  <w:rPr>
                    <w:webHidden/>
                  </w:rPr>
                  <w:fldChar w:fldCharType="end"/>
                </w:r>
              </w:hyperlink>
            </w:p>
            <w:p w14:paraId="4DE2CF99" w14:textId="5F73131C" w:rsidR="00C66D2B" w:rsidRPr="00171158" w:rsidRDefault="468D50E9" w:rsidP="00A737AE">
              <w:pPr>
                <w:pStyle w:val="TOC1"/>
                <w:tabs>
                  <w:tab w:val="right" w:leader="dot" w:pos="10455"/>
                </w:tabs>
                <w:rPr>
                  <w:rFonts w:ascii="Rubik" w:hAnsi="Rubik" w:cs="Rubik"/>
                  <w:color w:val="253B61"/>
                  <w:u w:val="single"/>
                </w:rPr>
              </w:pPr>
              <w:r w:rsidRPr="00171158">
                <w:rPr>
                  <w:rFonts w:ascii="Rubik" w:hAnsi="Rubik" w:cs="Rubik"/>
                  <w:color w:val="253B61"/>
                  <w:sz w:val="24"/>
                  <w:szCs w:val="24"/>
                </w:rPr>
                <w:fldChar w:fldCharType="end"/>
              </w:r>
            </w:p>
          </w:sdtContent>
        </w:sdt>
      </w:sdtContent>
    </w:sdt>
    <w:p w14:paraId="7FDA05DF" w14:textId="586029A8" w:rsidR="00AA1324" w:rsidRPr="00171158" w:rsidRDefault="00AA1324" w:rsidP="007C45DB">
      <w:pPr>
        <w:pStyle w:val="Heading1"/>
      </w:pPr>
      <w:bookmarkStart w:id="1" w:name="_Toc224130449"/>
      <w:r w:rsidRPr="00171158">
        <w:t xml:space="preserve">Document </w:t>
      </w:r>
      <w:r w:rsidR="00A737AE" w:rsidRPr="00171158">
        <w:t>Hi</w:t>
      </w:r>
      <w:r w:rsidRPr="00171158">
        <w:t>story</w:t>
      </w:r>
      <w:bookmarkEnd w:id="1"/>
    </w:p>
    <w:p w14:paraId="6A204773" w14:textId="77777777" w:rsidR="00AA1324" w:rsidRPr="00171158" w:rsidRDefault="00AA1324" w:rsidP="00AA1324">
      <w:pPr>
        <w:rPr>
          <w:rFonts w:ascii="Rubik" w:hAnsi="Rubik" w:cs="Rubik"/>
          <w:color w:val="253B61"/>
          <w:sz w:val="24"/>
          <w:szCs w:val="24"/>
        </w:rPr>
      </w:pPr>
      <w:r w:rsidRPr="00171158">
        <w:rPr>
          <w:rFonts w:ascii="Rubik" w:hAnsi="Rubik" w:cs="Rubik"/>
          <w:color w:val="253B61"/>
          <w:sz w:val="24"/>
          <w:szCs w:val="24"/>
        </w:rPr>
        <w:lastRenderedPageBreak/>
        <w:t>Revision history</w:t>
      </w:r>
    </w:p>
    <w:tbl>
      <w:tblPr>
        <w:tblW w:w="9889"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1E0" w:firstRow="1" w:lastRow="1" w:firstColumn="1" w:lastColumn="1" w:noHBand="0" w:noVBand="0"/>
      </w:tblPr>
      <w:tblGrid>
        <w:gridCol w:w="1526"/>
        <w:gridCol w:w="1163"/>
        <w:gridCol w:w="2381"/>
        <w:gridCol w:w="4819"/>
      </w:tblGrid>
      <w:tr w:rsidR="00171158" w:rsidRPr="00171158" w14:paraId="205A2343" w14:textId="77777777" w:rsidTr="00847838">
        <w:tc>
          <w:tcPr>
            <w:tcW w:w="1526" w:type="dxa"/>
            <w:vAlign w:val="center"/>
          </w:tcPr>
          <w:p w14:paraId="73620853"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Date</w:t>
            </w:r>
          </w:p>
        </w:tc>
        <w:tc>
          <w:tcPr>
            <w:tcW w:w="1163" w:type="dxa"/>
            <w:vAlign w:val="center"/>
          </w:tcPr>
          <w:p w14:paraId="12E65A88"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Version</w:t>
            </w:r>
          </w:p>
        </w:tc>
        <w:tc>
          <w:tcPr>
            <w:tcW w:w="2381" w:type="dxa"/>
            <w:vAlign w:val="center"/>
          </w:tcPr>
          <w:p w14:paraId="2A2BC8FB"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Author</w:t>
            </w:r>
          </w:p>
        </w:tc>
        <w:tc>
          <w:tcPr>
            <w:tcW w:w="4819" w:type="dxa"/>
            <w:vAlign w:val="center"/>
          </w:tcPr>
          <w:p w14:paraId="6CCA1A26"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Revision Summary</w:t>
            </w:r>
          </w:p>
        </w:tc>
      </w:tr>
      <w:tr w:rsidR="00171158" w:rsidRPr="00171158" w14:paraId="313EFD50" w14:textId="77777777" w:rsidTr="00847838">
        <w:tc>
          <w:tcPr>
            <w:tcW w:w="1526" w:type="dxa"/>
          </w:tcPr>
          <w:p w14:paraId="3D0773C4" w14:textId="45A6BC70" w:rsidR="00AA1324" w:rsidRPr="00171158" w:rsidRDefault="00E03667">
            <w:pPr>
              <w:spacing w:before="60" w:after="60"/>
              <w:rPr>
                <w:rFonts w:ascii="Rubik" w:hAnsi="Rubik" w:cs="Rubik"/>
                <w:color w:val="253B61"/>
                <w:sz w:val="24"/>
                <w:szCs w:val="24"/>
              </w:rPr>
            </w:pPr>
            <w:r>
              <w:rPr>
                <w:rFonts w:ascii="Rubik" w:hAnsi="Rubik" w:cs="Rubik"/>
                <w:color w:val="253B61"/>
                <w:sz w:val="24"/>
                <w:szCs w:val="24"/>
              </w:rPr>
              <w:t>February 2026</w:t>
            </w:r>
            <w:r w:rsidR="00AA1324" w:rsidRPr="00171158">
              <w:rPr>
                <w:rFonts w:ascii="Rubik" w:hAnsi="Rubik" w:cs="Rubik"/>
                <w:color w:val="253B61"/>
                <w:sz w:val="24"/>
                <w:szCs w:val="24"/>
              </w:rPr>
              <w:t xml:space="preserve"> </w:t>
            </w:r>
          </w:p>
        </w:tc>
        <w:tc>
          <w:tcPr>
            <w:tcW w:w="1163" w:type="dxa"/>
          </w:tcPr>
          <w:p w14:paraId="61F10968" w14:textId="55CDAD45" w:rsidR="00AA1324" w:rsidRPr="00171158" w:rsidRDefault="00E03667">
            <w:pPr>
              <w:spacing w:before="60" w:after="60"/>
              <w:rPr>
                <w:rFonts w:ascii="Rubik" w:hAnsi="Rubik" w:cs="Rubik"/>
                <w:color w:val="253B61"/>
                <w:sz w:val="24"/>
                <w:szCs w:val="24"/>
              </w:rPr>
            </w:pPr>
            <w:r>
              <w:rPr>
                <w:rFonts w:ascii="Rubik" w:hAnsi="Rubik" w:cs="Rubik"/>
                <w:color w:val="253B61"/>
                <w:sz w:val="24"/>
                <w:szCs w:val="24"/>
              </w:rPr>
              <w:t>1.3</w:t>
            </w:r>
          </w:p>
        </w:tc>
        <w:tc>
          <w:tcPr>
            <w:tcW w:w="2381" w:type="dxa"/>
          </w:tcPr>
          <w:p w14:paraId="7702C780" w14:textId="654F597C" w:rsidR="00AA1324" w:rsidRPr="00171158" w:rsidRDefault="00E03667">
            <w:pPr>
              <w:spacing w:before="60" w:after="60"/>
              <w:rPr>
                <w:rFonts w:ascii="Rubik" w:hAnsi="Rubik" w:cs="Rubik"/>
                <w:color w:val="253B61"/>
                <w:sz w:val="24"/>
                <w:szCs w:val="24"/>
              </w:rPr>
            </w:pPr>
            <w:r>
              <w:rPr>
                <w:rFonts w:ascii="Rubik" w:hAnsi="Rubik" w:cs="Rubik"/>
                <w:color w:val="253B61"/>
                <w:sz w:val="24"/>
                <w:szCs w:val="24"/>
              </w:rPr>
              <w:t>Ceri Ralph</w:t>
            </w:r>
          </w:p>
        </w:tc>
        <w:tc>
          <w:tcPr>
            <w:tcW w:w="4819" w:type="dxa"/>
          </w:tcPr>
          <w:p w14:paraId="40AC68D8" w14:textId="7992F173" w:rsidR="00AA1324" w:rsidRPr="00171158" w:rsidRDefault="00AA1324">
            <w:pPr>
              <w:spacing w:before="60" w:after="60"/>
              <w:rPr>
                <w:rFonts w:ascii="Rubik" w:hAnsi="Rubik" w:cs="Rubik"/>
                <w:color w:val="253B61"/>
                <w:sz w:val="24"/>
                <w:szCs w:val="24"/>
              </w:rPr>
            </w:pPr>
            <w:r w:rsidRPr="00171158">
              <w:rPr>
                <w:rFonts w:ascii="Rubik" w:hAnsi="Rubik" w:cs="Rubik"/>
                <w:color w:val="253B61"/>
                <w:sz w:val="24"/>
                <w:szCs w:val="24"/>
              </w:rPr>
              <w:t xml:space="preserve">This procedure has been based upon Version </w:t>
            </w:r>
            <w:r w:rsidR="009F535E">
              <w:rPr>
                <w:rFonts w:ascii="Rubik" w:hAnsi="Rubik" w:cs="Rubik"/>
                <w:color w:val="253B61"/>
                <w:sz w:val="24"/>
                <w:szCs w:val="24"/>
              </w:rPr>
              <w:t>2</w:t>
            </w:r>
            <w:r w:rsidRPr="00171158">
              <w:rPr>
                <w:rFonts w:ascii="Rubik" w:hAnsi="Rubik" w:cs="Rubik"/>
                <w:color w:val="253B61"/>
                <w:sz w:val="24"/>
                <w:szCs w:val="24"/>
              </w:rPr>
              <w:t>.0 of the DPO Support Service Template</w:t>
            </w:r>
          </w:p>
        </w:tc>
      </w:tr>
      <w:tr w:rsidR="00171158" w:rsidRPr="00171158" w14:paraId="2DA0CDF6" w14:textId="77777777" w:rsidTr="00847838">
        <w:tc>
          <w:tcPr>
            <w:tcW w:w="1526" w:type="dxa"/>
          </w:tcPr>
          <w:p w14:paraId="5888AD8B" w14:textId="77777777" w:rsidR="00AA1324" w:rsidRPr="00171158" w:rsidRDefault="00AA1324">
            <w:pPr>
              <w:spacing w:before="60" w:after="60"/>
              <w:rPr>
                <w:rFonts w:ascii="Rubik" w:hAnsi="Rubik" w:cs="Rubik"/>
                <w:color w:val="253B61"/>
                <w:sz w:val="24"/>
                <w:szCs w:val="24"/>
              </w:rPr>
            </w:pPr>
          </w:p>
        </w:tc>
        <w:tc>
          <w:tcPr>
            <w:tcW w:w="1163" w:type="dxa"/>
          </w:tcPr>
          <w:p w14:paraId="0E769247" w14:textId="77777777" w:rsidR="00AA1324" w:rsidRPr="00171158" w:rsidRDefault="00AA1324">
            <w:pPr>
              <w:spacing w:before="60" w:after="60"/>
              <w:rPr>
                <w:rFonts w:ascii="Rubik" w:hAnsi="Rubik" w:cs="Rubik"/>
                <w:color w:val="253B61"/>
                <w:sz w:val="24"/>
                <w:szCs w:val="24"/>
              </w:rPr>
            </w:pPr>
          </w:p>
        </w:tc>
        <w:tc>
          <w:tcPr>
            <w:tcW w:w="2381" w:type="dxa"/>
          </w:tcPr>
          <w:p w14:paraId="75D66D08" w14:textId="77777777" w:rsidR="00AA1324" w:rsidRPr="00171158" w:rsidRDefault="00AA1324">
            <w:pPr>
              <w:spacing w:before="60" w:after="60"/>
              <w:rPr>
                <w:rFonts w:ascii="Rubik" w:hAnsi="Rubik" w:cs="Rubik"/>
                <w:color w:val="253B61"/>
                <w:sz w:val="24"/>
                <w:szCs w:val="24"/>
              </w:rPr>
            </w:pPr>
          </w:p>
        </w:tc>
        <w:tc>
          <w:tcPr>
            <w:tcW w:w="4819" w:type="dxa"/>
          </w:tcPr>
          <w:p w14:paraId="3E21B16F" w14:textId="77777777" w:rsidR="00AA1324" w:rsidRPr="00171158" w:rsidRDefault="00AA1324">
            <w:pPr>
              <w:spacing w:before="60" w:after="60"/>
              <w:rPr>
                <w:rFonts w:ascii="Rubik" w:hAnsi="Rubik" w:cs="Rubik"/>
                <w:color w:val="253B61"/>
                <w:sz w:val="24"/>
                <w:szCs w:val="24"/>
              </w:rPr>
            </w:pPr>
          </w:p>
        </w:tc>
      </w:tr>
      <w:tr w:rsidR="00171158" w:rsidRPr="00171158" w14:paraId="2D0DC2FA" w14:textId="77777777" w:rsidTr="00847838">
        <w:tc>
          <w:tcPr>
            <w:tcW w:w="1526" w:type="dxa"/>
          </w:tcPr>
          <w:p w14:paraId="0D0A19A8" w14:textId="77777777" w:rsidR="00AA1324" w:rsidRPr="00171158" w:rsidRDefault="00AA1324">
            <w:pPr>
              <w:spacing w:before="60" w:after="60"/>
              <w:rPr>
                <w:rFonts w:ascii="Rubik" w:hAnsi="Rubik" w:cs="Rubik"/>
                <w:color w:val="253B61"/>
                <w:sz w:val="24"/>
                <w:szCs w:val="24"/>
              </w:rPr>
            </w:pPr>
          </w:p>
        </w:tc>
        <w:tc>
          <w:tcPr>
            <w:tcW w:w="1163" w:type="dxa"/>
          </w:tcPr>
          <w:p w14:paraId="5786F9DA" w14:textId="77777777" w:rsidR="00AA1324" w:rsidRPr="00171158" w:rsidRDefault="00AA1324">
            <w:pPr>
              <w:spacing w:before="60" w:after="60"/>
              <w:rPr>
                <w:rFonts w:ascii="Rubik" w:hAnsi="Rubik" w:cs="Rubik"/>
                <w:color w:val="253B61"/>
                <w:sz w:val="24"/>
                <w:szCs w:val="24"/>
              </w:rPr>
            </w:pPr>
          </w:p>
        </w:tc>
        <w:tc>
          <w:tcPr>
            <w:tcW w:w="2381" w:type="dxa"/>
          </w:tcPr>
          <w:p w14:paraId="702C0665" w14:textId="77777777" w:rsidR="00AA1324" w:rsidRPr="00171158" w:rsidRDefault="00AA1324">
            <w:pPr>
              <w:spacing w:before="60" w:after="60"/>
              <w:rPr>
                <w:rFonts w:ascii="Rubik" w:hAnsi="Rubik" w:cs="Rubik"/>
                <w:color w:val="253B61"/>
                <w:sz w:val="24"/>
                <w:szCs w:val="24"/>
              </w:rPr>
            </w:pPr>
          </w:p>
        </w:tc>
        <w:tc>
          <w:tcPr>
            <w:tcW w:w="4819" w:type="dxa"/>
          </w:tcPr>
          <w:p w14:paraId="63FE479A" w14:textId="77777777" w:rsidR="00AA1324" w:rsidRPr="00171158" w:rsidRDefault="00AA1324">
            <w:pPr>
              <w:spacing w:before="60" w:after="60"/>
              <w:rPr>
                <w:rFonts w:ascii="Rubik" w:hAnsi="Rubik" w:cs="Rubik"/>
                <w:color w:val="253B61"/>
                <w:sz w:val="24"/>
                <w:szCs w:val="24"/>
              </w:rPr>
            </w:pPr>
          </w:p>
        </w:tc>
      </w:tr>
      <w:tr w:rsidR="00171158" w:rsidRPr="00171158" w14:paraId="3EB52E5D" w14:textId="77777777" w:rsidTr="00847838">
        <w:tc>
          <w:tcPr>
            <w:tcW w:w="1526" w:type="dxa"/>
          </w:tcPr>
          <w:p w14:paraId="03FDB71B" w14:textId="77777777" w:rsidR="00AA1324" w:rsidRPr="00171158" w:rsidRDefault="00AA1324">
            <w:pPr>
              <w:spacing w:before="60" w:after="60"/>
              <w:rPr>
                <w:rFonts w:ascii="Rubik" w:hAnsi="Rubik" w:cs="Rubik"/>
                <w:color w:val="253B61"/>
                <w:sz w:val="24"/>
                <w:szCs w:val="24"/>
              </w:rPr>
            </w:pPr>
          </w:p>
        </w:tc>
        <w:tc>
          <w:tcPr>
            <w:tcW w:w="1163" w:type="dxa"/>
          </w:tcPr>
          <w:p w14:paraId="376648D2" w14:textId="77777777" w:rsidR="00AA1324" w:rsidRPr="00171158" w:rsidRDefault="00AA1324">
            <w:pPr>
              <w:spacing w:before="60" w:after="60"/>
              <w:rPr>
                <w:rFonts w:ascii="Rubik" w:hAnsi="Rubik" w:cs="Rubik"/>
                <w:color w:val="253B61"/>
                <w:sz w:val="24"/>
                <w:szCs w:val="24"/>
              </w:rPr>
            </w:pPr>
          </w:p>
        </w:tc>
        <w:tc>
          <w:tcPr>
            <w:tcW w:w="2381" w:type="dxa"/>
          </w:tcPr>
          <w:p w14:paraId="6A047B1A" w14:textId="77777777" w:rsidR="00AA1324" w:rsidRPr="00171158" w:rsidRDefault="00AA1324">
            <w:pPr>
              <w:spacing w:before="60" w:after="60"/>
              <w:rPr>
                <w:rFonts w:ascii="Rubik" w:hAnsi="Rubik" w:cs="Rubik"/>
                <w:color w:val="253B61"/>
                <w:sz w:val="24"/>
                <w:szCs w:val="24"/>
              </w:rPr>
            </w:pPr>
          </w:p>
        </w:tc>
        <w:tc>
          <w:tcPr>
            <w:tcW w:w="4819" w:type="dxa"/>
          </w:tcPr>
          <w:p w14:paraId="48F373FB" w14:textId="77777777" w:rsidR="00AA1324" w:rsidRPr="00171158" w:rsidRDefault="00AA1324">
            <w:pPr>
              <w:spacing w:before="60" w:after="60"/>
              <w:rPr>
                <w:rFonts w:ascii="Rubik" w:hAnsi="Rubik" w:cs="Rubik"/>
                <w:color w:val="253B61"/>
                <w:sz w:val="24"/>
                <w:szCs w:val="24"/>
              </w:rPr>
            </w:pPr>
          </w:p>
        </w:tc>
      </w:tr>
    </w:tbl>
    <w:p w14:paraId="47C078E1" w14:textId="77777777" w:rsidR="00AA1324" w:rsidRPr="00171158" w:rsidRDefault="00AA1324" w:rsidP="00AA1324">
      <w:pPr>
        <w:rPr>
          <w:rFonts w:ascii="Rubik" w:hAnsi="Rubik" w:cs="Rubik"/>
          <w:color w:val="253B61"/>
          <w:sz w:val="24"/>
          <w:szCs w:val="24"/>
        </w:rPr>
      </w:pPr>
      <w:r w:rsidRPr="00171158">
        <w:rPr>
          <w:rFonts w:ascii="Rubik" w:hAnsi="Rubik" w:cs="Rubik"/>
          <w:color w:val="253B61"/>
          <w:sz w:val="24"/>
          <w:szCs w:val="24"/>
        </w:rPr>
        <w:t xml:space="preserve">Reviewers </w:t>
      </w:r>
    </w:p>
    <w:p w14:paraId="3DEA3A70" w14:textId="1FFD651F" w:rsidR="00AA1324" w:rsidRPr="00171158" w:rsidRDefault="00AA1324" w:rsidP="00AA1324">
      <w:pPr>
        <w:tabs>
          <w:tab w:val="left" w:pos="7965"/>
        </w:tabs>
        <w:spacing w:after="120"/>
        <w:rPr>
          <w:rFonts w:ascii="Rubik" w:hAnsi="Rubik" w:cs="Rubik"/>
          <w:color w:val="253B61"/>
          <w:sz w:val="24"/>
          <w:szCs w:val="24"/>
        </w:rPr>
      </w:pPr>
      <w:r w:rsidRPr="00171158">
        <w:rPr>
          <w:rFonts w:ascii="Rubik" w:hAnsi="Rubik" w:cs="Rubik"/>
          <w:color w:val="253B61"/>
          <w:sz w:val="24"/>
          <w:szCs w:val="24"/>
        </w:rPr>
        <w:t>This document requires the following reviews:</w:t>
      </w:r>
    </w:p>
    <w:tbl>
      <w:tblPr>
        <w:tblW w:w="9889"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1E0" w:firstRow="1" w:lastRow="1" w:firstColumn="1" w:lastColumn="1" w:noHBand="0" w:noVBand="0"/>
      </w:tblPr>
      <w:tblGrid>
        <w:gridCol w:w="1526"/>
        <w:gridCol w:w="992"/>
        <w:gridCol w:w="2552"/>
        <w:gridCol w:w="4819"/>
      </w:tblGrid>
      <w:tr w:rsidR="00171158" w:rsidRPr="00171158" w14:paraId="1E25F0F9" w14:textId="77777777" w:rsidTr="00847838">
        <w:tc>
          <w:tcPr>
            <w:tcW w:w="1526" w:type="dxa"/>
          </w:tcPr>
          <w:p w14:paraId="5DD0A756"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Date</w:t>
            </w:r>
          </w:p>
        </w:tc>
        <w:tc>
          <w:tcPr>
            <w:tcW w:w="992" w:type="dxa"/>
          </w:tcPr>
          <w:p w14:paraId="28B0877A"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Version</w:t>
            </w:r>
          </w:p>
        </w:tc>
        <w:tc>
          <w:tcPr>
            <w:tcW w:w="2552" w:type="dxa"/>
          </w:tcPr>
          <w:p w14:paraId="174A291E"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Name</w:t>
            </w:r>
          </w:p>
        </w:tc>
        <w:tc>
          <w:tcPr>
            <w:tcW w:w="4819" w:type="dxa"/>
          </w:tcPr>
          <w:p w14:paraId="1318168E"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Position</w:t>
            </w:r>
          </w:p>
        </w:tc>
      </w:tr>
      <w:tr w:rsidR="00171158" w:rsidRPr="00171158" w14:paraId="77270EEB" w14:textId="77777777" w:rsidTr="00847838">
        <w:tc>
          <w:tcPr>
            <w:tcW w:w="1526" w:type="dxa"/>
          </w:tcPr>
          <w:p w14:paraId="309A3A74" w14:textId="77777777" w:rsidR="00AA1324" w:rsidRPr="00171158" w:rsidRDefault="00AA1324">
            <w:pPr>
              <w:spacing w:before="60" w:after="60"/>
              <w:rPr>
                <w:rFonts w:ascii="Rubik" w:hAnsi="Rubik" w:cs="Rubik"/>
                <w:color w:val="253B61"/>
                <w:sz w:val="24"/>
                <w:szCs w:val="24"/>
              </w:rPr>
            </w:pPr>
          </w:p>
        </w:tc>
        <w:tc>
          <w:tcPr>
            <w:tcW w:w="992" w:type="dxa"/>
          </w:tcPr>
          <w:p w14:paraId="27C13E3F" w14:textId="77777777" w:rsidR="00AA1324" w:rsidRPr="00171158" w:rsidRDefault="00AA1324">
            <w:pPr>
              <w:spacing w:before="60" w:after="60"/>
              <w:rPr>
                <w:rFonts w:ascii="Rubik" w:hAnsi="Rubik" w:cs="Rubik"/>
                <w:color w:val="253B61"/>
                <w:sz w:val="24"/>
                <w:szCs w:val="24"/>
              </w:rPr>
            </w:pPr>
          </w:p>
        </w:tc>
        <w:tc>
          <w:tcPr>
            <w:tcW w:w="2552" w:type="dxa"/>
          </w:tcPr>
          <w:p w14:paraId="3B7DC304" w14:textId="77777777" w:rsidR="00AA1324" w:rsidRPr="00171158" w:rsidRDefault="00AA1324">
            <w:pPr>
              <w:spacing w:before="60" w:after="60"/>
              <w:rPr>
                <w:rFonts w:ascii="Rubik" w:hAnsi="Rubik" w:cs="Rubik"/>
                <w:color w:val="253B61"/>
                <w:sz w:val="24"/>
                <w:szCs w:val="24"/>
              </w:rPr>
            </w:pPr>
          </w:p>
        </w:tc>
        <w:tc>
          <w:tcPr>
            <w:tcW w:w="4819" w:type="dxa"/>
          </w:tcPr>
          <w:p w14:paraId="62AF38E8" w14:textId="77777777" w:rsidR="00AA1324" w:rsidRPr="00171158" w:rsidRDefault="00AA1324">
            <w:pPr>
              <w:spacing w:before="60" w:after="60"/>
              <w:rPr>
                <w:rFonts w:ascii="Rubik" w:hAnsi="Rubik" w:cs="Rubik"/>
                <w:color w:val="253B61"/>
                <w:sz w:val="24"/>
                <w:szCs w:val="24"/>
              </w:rPr>
            </w:pPr>
          </w:p>
        </w:tc>
      </w:tr>
      <w:tr w:rsidR="00171158" w:rsidRPr="00171158" w14:paraId="10C365F1" w14:textId="77777777" w:rsidTr="00847838">
        <w:tc>
          <w:tcPr>
            <w:tcW w:w="1526" w:type="dxa"/>
          </w:tcPr>
          <w:p w14:paraId="30744A21" w14:textId="77777777" w:rsidR="00AA1324" w:rsidRPr="00171158" w:rsidRDefault="00AA1324">
            <w:pPr>
              <w:spacing w:before="60" w:after="60"/>
              <w:rPr>
                <w:rFonts w:ascii="Rubik" w:hAnsi="Rubik" w:cs="Rubik"/>
                <w:color w:val="253B61"/>
                <w:sz w:val="24"/>
                <w:szCs w:val="24"/>
              </w:rPr>
            </w:pPr>
          </w:p>
        </w:tc>
        <w:tc>
          <w:tcPr>
            <w:tcW w:w="992" w:type="dxa"/>
          </w:tcPr>
          <w:p w14:paraId="784C9818" w14:textId="77777777" w:rsidR="00AA1324" w:rsidRPr="00171158" w:rsidRDefault="00AA1324">
            <w:pPr>
              <w:spacing w:before="60" w:after="60"/>
              <w:rPr>
                <w:rFonts w:ascii="Rubik" w:hAnsi="Rubik" w:cs="Rubik"/>
                <w:color w:val="253B61"/>
                <w:sz w:val="24"/>
                <w:szCs w:val="24"/>
              </w:rPr>
            </w:pPr>
          </w:p>
        </w:tc>
        <w:tc>
          <w:tcPr>
            <w:tcW w:w="2552" w:type="dxa"/>
          </w:tcPr>
          <w:p w14:paraId="2D73D532" w14:textId="77777777" w:rsidR="00AA1324" w:rsidRPr="00171158" w:rsidRDefault="00AA1324">
            <w:pPr>
              <w:spacing w:before="60" w:after="60"/>
              <w:rPr>
                <w:rFonts w:ascii="Rubik" w:hAnsi="Rubik" w:cs="Rubik"/>
                <w:color w:val="253B61"/>
                <w:sz w:val="24"/>
                <w:szCs w:val="24"/>
              </w:rPr>
            </w:pPr>
          </w:p>
        </w:tc>
        <w:tc>
          <w:tcPr>
            <w:tcW w:w="4819" w:type="dxa"/>
          </w:tcPr>
          <w:p w14:paraId="4FC69809" w14:textId="77777777" w:rsidR="00AA1324" w:rsidRPr="00171158" w:rsidRDefault="00AA1324">
            <w:pPr>
              <w:spacing w:before="60" w:after="60"/>
              <w:rPr>
                <w:rFonts w:ascii="Rubik" w:hAnsi="Rubik" w:cs="Rubik"/>
                <w:color w:val="253B61"/>
                <w:sz w:val="24"/>
                <w:szCs w:val="24"/>
              </w:rPr>
            </w:pPr>
          </w:p>
        </w:tc>
      </w:tr>
    </w:tbl>
    <w:p w14:paraId="332A8BC5" w14:textId="77777777" w:rsidR="00AA1324" w:rsidRPr="00171158" w:rsidRDefault="00AA1324" w:rsidP="00AA1324">
      <w:pPr>
        <w:rPr>
          <w:rFonts w:ascii="Rubik" w:hAnsi="Rubik" w:cs="Rubik"/>
          <w:color w:val="253B61"/>
          <w:sz w:val="24"/>
          <w:szCs w:val="24"/>
        </w:rPr>
      </w:pPr>
      <w:r w:rsidRPr="00171158">
        <w:rPr>
          <w:rFonts w:ascii="Rubik" w:hAnsi="Rubik" w:cs="Rubik"/>
          <w:color w:val="253B61"/>
          <w:sz w:val="24"/>
          <w:szCs w:val="24"/>
        </w:rPr>
        <w:t>Authorisation</w:t>
      </w:r>
    </w:p>
    <w:p w14:paraId="0240C768" w14:textId="77777777" w:rsidR="00AA1324" w:rsidRPr="00171158" w:rsidRDefault="00AA1324" w:rsidP="00AA1324">
      <w:pPr>
        <w:pStyle w:val="Head1Normal"/>
        <w:spacing w:before="0" w:line="276" w:lineRule="auto"/>
        <w:contextualSpacing/>
        <w:rPr>
          <w:rFonts w:ascii="Rubik" w:hAnsi="Rubik" w:cs="Rubik"/>
          <w:color w:val="253B61"/>
          <w:sz w:val="24"/>
          <w:szCs w:val="24"/>
        </w:rPr>
      </w:pPr>
      <w:r w:rsidRPr="00171158">
        <w:rPr>
          <w:rFonts w:ascii="Rubik" w:hAnsi="Rubik" w:cs="Rubik"/>
          <w:color w:val="253B61"/>
          <w:sz w:val="24"/>
          <w:szCs w:val="24"/>
        </w:rPr>
        <w:t>Signing of this document indicates acceptance of its contents.</w:t>
      </w:r>
    </w:p>
    <w:tbl>
      <w:tblPr>
        <w:tblW w:w="991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2498"/>
        <w:gridCol w:w="7420"/>
      </w:tblGrid>
      <w:tr w:rsidR="00171158" w:rsidRPr="00171158" w14:paraId="4A66BC60" w14:textId="77777777" w:rsidTr="00847838">
        <w:trPr>
          <w:cantSplit/>
          <w:trHeight w:val="625"/>
        </w:trPr>
        <w:tc>
          <w:tcPr>
            <w:tcW w:w="2498" w:type="dxa"/>
          </w:tcPr>
          <w:p w14:paraId="0A2E9529"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Approver’s Name:</w:t>
            </w:r>
          </w:p>
        </w:tc>
        <w:tc>
          <w:tcPr>
            <w:tcW w:w="7420" w:type="dxa"/>
          </w:tcPr>
          <w:p w14:paraId="381CF81A" w14:textId="2228526B" w:rsidR="00AA1324" w:rsidRPr="00171158" w:rsidRDefault="00E03667">
            <w:pPr>
              <w:spacing w:before="60" w:after="60"/>
              <w:rPr>
                <w:rFonts w:ascii="Rubik" w:hAnsi="Rubik" w:cs="Rubik"/>
                <w:color w:val="253B61"/>
                <w:sz w:val="24"/>
                <w:szCs w:val="24"/>
              </w:rPr>
            </w:pPr>
            <w:r>
              <w:rPr>
                <w:rFonts w:ascii="Rubik" w:hAnsi="Rubik" w:cs="Rubik"/>
                <w:color w:val="253B61"/>
                <w:sz w:val="24"/>
                <w:szCs w:val="24"/>
              </w:rPr>
              <w:t>Ceri Ralph</w:t>
            </w:r>
          </w:p>
        </w:tc>
      </w:tr>
      <w:tr w:rsidR="00171158" w:rsidRPr="00171158" w14:paraId="65C30D7F" w14:textId="77777777" w:rsidTr="00847838">
        <w:trPr>
          <w:cantSplit/>
          <w:trHeight w:val="1019"/>
        </w:trPr>
        <w:tc>
          <w:tcPr>
            <w:tcW w:w="2498" w:type="dxa"/>
          </w:tcPr>
          <w:p w14:paraId="62558F9B"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Role:</w:t>
            </w:r>
          </w:p>
        </w:tc>
        <w:tc>
          <w:tcPr>
            <w:tcW w:w="7420" w:type="dxa"/>
          </w:tcPr>
          <w:p w14:paraId="07731A42" w14:textId="78548004" w:rsidR="00AA1324" w:rsidRPr="00171158" w:rsidRDefault="00E03667">
            <w:pPr>
              <w:tabs>
                <w:tab w:val="left" w:pos="1470"/>
              </w:tabs>
              <w:rPr>
                <w:rFonts w:ascii="Rubik" w:hAnsi="Rubik" w:cs="Rubik"/>
                <w:color w:val="253B61"/>
                <w:sz w:val="24"/>
                <w:szCs w:val="24"/>
              </w:rPr>
            </w:pPr>
            <w:r>
              <w:rPr>
                <w:rFonts w:ascii="Rubik" w:hAnsi="Rubik" w:cs="Rubik"/>
                <w:color w:val="253B61"/>
                <w:sz w:val="24"/>
                <w:szCs w:val="24"/>
              </w:rPr>
              <w:t>Practice Management Team</w:t>
            </w:r>
          </w:p>
        </w:tc>
      </w:tr>
      <w:tr w:rsidR="007C45DB" w:rsidRPr="00171158" w14:paraId="65CFEB90" w14:textId="77777777" w:rsidTr="00847838">
        <w:trPr>
          <w:cantSplit/>
          <w:trHeight w:val="1019"/>
        </w:trPr>
        <w:tc>
          <w:tcPr>
            <w:tcW w:w="2498" w:type="dxa"/>
          </w:tcPr>
          <w:p w14:paraId="042A1BF6" w14:textId="77777777" w:rsidR="00E03667" w:rsidRDefault="00E03667">
            <w:pPr>
              <w:spacing w:before="60" w:after="60"/>
              <w:rPr>
                <w:rFonts w:ascii="Rubik" w:hAnsi="Rubik" w:cs="Rubik"/>
                <w:b/>
                <w:bCs/>
                <w:color w:val="253B61"/>
                <w:sz w:val="24"/>
                <w:szCs w:val="24"/>
              </w:rPr>
            </w:pPr>
          </w:p>
          <w:p w14:paraId="06E9B1D5" w14:textId="04852D5E"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Signature:</w:t>
            </w:r>
          </w:p>
        </w:tc>
        <w:tc>
          <w:tcPr>
            <w:tcW w:w="7420" w:type="dxa"/>
          </w:tcPr>
          <w:p w14:paraId="0C9C5E07" w14:textId="0DE75B9A" w:rsidR="00AA1324" w:rsidRPr="00171158" w:rsidRDefault="00E03667">
            <w:pPr>
              <w:contextualSpacing/>
              <w:rPr>
                <w:rFonts w:ascii="Rubik" w:hAnsi="Rubik" w:cs="Rubik"/>
                <w:color w:val="253B61"/>
                <w:sz w:val="24"/>
                <w:szCs w:val="24"/>
              </w:rPr>
            </w:pPr>
            <w:r>
              <w:rPr>
                <w:rFonts w:ascii="Rubik" w:hAnsi="Rubik" w:cs="Rubik"/>
                <w:noProof/>
                <w:color w:val="253B61"/>
                <w:sz w:val="24"/>
                <w:szCs w:val="24"/>
              </w:rPr>
              <w:drawing>
                <wp:inline distT="0" distB="0" distL="0" distR="0" wp14:anchorId="7FB1D0DF" wp14:editId="1B1F9CB5">
                  <wp:extent cx="1695687" cy="828791"/>
                  <wp:effectExtent l="0" t="0" r="0" b="9525"/>
                  <wp:docPr id="12975376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37662" name="Picture 1297537662"/>
                          <pic:cNvPicPr/>
                        </pic:nvPicPr>
                        <pic:blipFill>
                          <a:blip r:embed="rId11">
                            <a:extLst>
                              <a:ext uri="{28A0092B-C50C-407E-A947-70E740481C1C}">
                                <a14:useLocalDpi xmlns:a14="http://schemas.microsoft.com/office/drawing/2010/main" val="0"/>
                              </a:ext>
                            </a:extLst>
                          </a:blip>
                          <a:stretch>
                            <a:fillRect/>
                          </a:stretch>
                        </pic:blipFill>
                        <pic:spPr>
                          <a:xfrm>
                            <a:off x="0" y="0"/>
                            <a:ext cx="1695687" cy="828791"/>
                          </a:xfrm>
                          <a:prstGeom prst="rect">
                            <a:avLst/>
                          </a:prstGeom>
                        </pic:spPr>
                      </pic:pic>
                    </a:graphicData>
                  </a:graphic>
                </wp:inline>
              </w:drawing>
            </w:r>
          </w:p>
        </w:tc>
      </w:tr>
    </w:tbl>
    <w:p w14:paraId="49B6AB64" w14:textId="2078F4D9" w:rsidR="00195763" w:rsidRDefault="00195763" w:rsidP="00E03667">
      <w:pPr>
        <w:pStyle w:val="Heading1"/>
        <w:numPr>
          <w:ilvl w:val="0"/>
          <w:numId w:val="0"/>
        </w:numPr>
      </w:pPr>
    </w:p>
    <w:p w14:paraId="4D6F8E9A" w14:textId="77777777" w:rsidR="00E03667" w:rsidRPr="00E03667" w:rsidRDefault="00E03667" w:rsidP="00E03667"/>
    <w:p w14:paraId="6A4F6FE9" w14:textId="77777777" w:rsidR="00E03667" w:rsidRPr="00E03667" w:rsidRDefault="00E03667" w:rsidP="00E03667"/>
    <w:p w14:paraId="15BC0815" w14:textId="13AC698E" w:rsidR="00AA1324" w:rsidRPr="00171158" w:rsidRDefault="00195763" w:rsidP="00AA1324">
      <w:pPr>
        <w:rPr>
          <w:rFonts w:ascii="Rubik" w:eastAsia="Times New Roman" w:hAnsi="Rubik" w:cs="Rubik"/>
          <w:b/>
          <w:color w:val="253B61"/>
          <w:kern w:val="32"/>
          <w:sz w:val="28"/>
          <w:szCs w:val="28"/>
        </w:rPr>
      </w:pPr>
      <w:r w:rsidRPr="00171158">
        <w:rPr>
          <w:rFonts w:ascii="Rubik" w:hAnsi="Rubik" w:cs="Rubik"/>
          <w:color w:val="253B61"/>
        </w:rPr>
        <w:br w:type="page"/>
      </w:r>
    </w:p>
    <w:p w14:paraId="67837B0C" w14:textId="40BDBADE" w:rsidR="00AA1324" w:rsidRPr="007C45DB" w:rsidRDefault="00AA1324" w:rsidP="007C45DB">
      <w:pPr>
        <w:pStyle w:val="Heading1"/>
      </w:pPr>
      <w:bookmarkStart w:id="2" w:name="_Toc224130450"/>
      <w:r w:rsidRPr="007C45DB">
        <w:lastRenderedPageBreak/>
        <w:t>Introduction</w:t>
      </w:r>
      <w:bookmarkEnd w:id="2"/>
    </w:p>
    <w:p w14:paraId="3A14610A" w14:textId="52958CC6" w:rsidR="00AA1324" w:rsidRPr="00171158" w:rsidRDefault="00AA1324" w:rsidP="1DBFBDCC">
      <w:pPr>
        <w:spacing w:after="120" w:afterAutospacing="0"/>
        <w:rPr>
          <w:rFonts w:ascii="Rubik" w:hAnsi="Rubik" w:cs="Rubik"/>
          <w:color w:val="253B61"/>
        </w:rPr>
      </w:pPr>
      <w:r w:rsidRPr="00171158">
        <w:rPr>
          <w:rFonts w:ascii="Rubik" w:hAnsi="Rubik" w:cs="Rubik"/>
          <w:color w:val="253B61"/>
        </w:rPr>
        <w:t>The Freedom of Information Act (FOIA) 2000 and the Environmental Information Regulations (EIR) 2004 provide a right of access to information held and recorded by public authorities. Primary Care Service</w:t>
      </w:r>
      <w:r w:rsidR="002E2564" w:rsidRPr="00171158">
        <w:rPr>
          <w:rFonts w:ascii="Rubik" w:hAnsi="Rubik" w:cs="Rubik"/>
          <w:color w:val="253B61"/>
        </w:rPr>
        <w:t xml:space="preserve"> Providers </w:t>
      </w:r>
      <w:r w:rsidRPr="00171158">
        <w:rPr>
          <w:rFonts w:ascii="Rubik" w:hAnsi="Rubik" w:cs="Rubik"/>
          <w:color w:val="253B61"/>
        </w:rPr>
        <w:t xml:space="preserve">are defined under the FOI Act as public authorities for the provision of </w:t>
      </w:r>
      <w:r w:rsidR="002E2564" w:rsidRPr="00171158">
        <w:rPr>
          <w:rFonts w:ascii="Rubik" w:hAnsi="Rubik" w:cs="Rubik"/>
          <w:color w:val="253B61"/>
        </w:rPr>
        <w:t>general medical services, general dental services,</w:t>
      </w:r>
      <w:r w:rsidR="002E2564" w:rsidRPr="00171158">
        <w:rPr>
          <w:rFonts w:ascii="Rubik" w:hAnsi="Rubik" w:cs="Rubik"/>
          <w:b/>
          <w:bCs/>
          <w:color w:val="253B61"/>
        </w:rPr>
        <w:t xml:space="preserve"> </w:t>
      </w:r>
      <w:r w:rsidR="002E2564" w:rsidRPr="00171158">
        <w:rPr>
          <w:rFonts w:ascii="Rubik" w:hAnsi="Rubik" w:cs="Rubik"/>
          <w:color w:val="253B61"/>
        </w:rPr>
        <w:t>general ophthalmic services or pharmaceutical services under the National Health Service (Wales) Act 2006</w:t>
      </w:r>
      <w:r w:rsidRPr="00171158">
        <w:rPr>
          <w:rFonts w:ascii="Rubik" w:hAnsi="Rubik" w:cs="Rubik"/>
          <w:color w:val="253B61"/>
        </w:rPr>
        <w:t>. Therefore, information held relating to these services may be requested under the FOI Act and/or the EIR Regulations and any information requested should be provided unless an exemption in the FOIA or an exception under EIR applies.</w:t>
      </w:r>
    </w:p>
    <w:p w14:paraId="3ADB82C4" w14:textId="77777777" w:rsidR="00AA1324" w:rsidRPr="00171158" w:rsidRDefault="00AA1324" w:rsidP="007C45DB">
      <w:pPr>
        <w:pStyle w:val="Heading1"/>
      </w:pPr>
      <w:bookmarkStart w:id="3" w:name="_Toc224130451"/>
      <w:r w:rsidRPr="00171158">
        <w:t>Purpose</w:t>
      </w:r>
      <w:bookmarkEnd w:id="3"/>
    </w:p>
    <w:p w14:paraId="123473A5" w14:textId="77777777" w:rsidR="00AA1324" w:rsidRPr="00171158" w:rsidRDefault="00AA1324" w:rsidP="1DBFBDCC">
      <w:pPr>
        <w:pStyle w:val="ListParagraph"/>
        <w:spacing w:after="120" w:afterAutospacing="0"/>
        <w:ind w:left="0"/>
        <w:rPr>
          <w:rFonts w:ascii="Rubik" w:hAnsi="Rubik" w:cs="Rubik"/>
          <w:color w:val="253B61"/>
          <w:sz w:val="24"/>
          <w:szCs w:val="24"/>
        </w:rPr>
      </w:pPr>
      <w:r w:rsidRPr="00171158">
        <w:rPr>
          <w:rFonts w:ascii="Rubik" w:hAnsi="Rubik" w:cs="Rubik"/>
          <w:color w:val="253B61"/>
        </w:rPr>
        <w:t>This procedure details the steps to be taken when responding to a request for information under the Freedom of Information Act 2000 (FOIA) or the Environmental Information Regulations 2004 (EIR) (“the Regulations”).</w:t>
      </w:r>
    </w:p>
    <w:p w14:paraId="01453DA3" w14:textId="77777777" w:rsidR="00AA1324" w:rsidRPr="00171158" w:rsidRDefault="00AA1324" w:rsidP="1DBFBDCC">
      <w:pPr>
        <w:pStyle w:val="ListParagraph"/>
        <w:spacing w:after="120" w:afterAutospacing="0"/>
        <w:ind w:left="0"/>
        <w:rPr>
          <w:rFonts w:ascii="Rubik" w:hAnsi="Rubik" w:cs="Rubik"/>
          <w:color w:val="253B61"/>
          <w:sz w:val="24"/>
          <w:szCs w:val="24"/>
        </w:rPr>
      </w:pPr>
    </w:p>
    <w:p w14:paraId="585A4EA2" w14:textId="77777777" w:rsidR="00AA1324" w:rsidRPr="00171158" w:rsidRDefault="00AA1324" w:rsidP="1DBFBDCC">
      <w:pPr>
        <w:pStyle w:val="ListParagraph"/>
        <w:spacing w:after="120" w:afterAutospacing="0"/>
        <w:ind w:left="0"/>
        <w:rPr>
          <w:rFonts w:ascii="Rubik" w:hAnsi="Rubik" w:cs="Rubik"/>
          <w:color w:val="253B61"/>
        </w:rPr>
      </w:pPr>
      <w:r w:rsidRPr="00171158">
        <w:rPr>
          <w:rFonts w:ascii="Rubik" w:hAnsi="Rubik" w:cs="Rubik"/>
          <w:color w:val="253B61"/>
        </w:rPr>
        <w:t xml:space="preserve">FOIA and EIR apply to corporate records and information, and the emphasis is on increasing access to information. This procedure outlines how the organisation complies with the legislation to ensure that: </w:t>
      </w:r>
    </w:p>
    <w:p w14:paraId="1B879471" w14:textId="77777777" w:rsidR="00AA1324" w:rsidRPr="00171158" w:rsidRDefault="00AA1324" w:rsidP="1DBFBDCC">
      <w:pPr>
        <w:pStyle w:val="ListParagraph"/>
        <w:spacing w:after="120" w:afterAutospacing="0"/>
        <w:ind w:left="0"/>
        <w:rPr>
          <w:rFonts w:ascii="Rubik" w:hAnsi="Rubik" w:cs="Rubik"/>
          <w:color w:val="253B61"/>
        </w:rPr>
      </w:pPr>
    </w:p>
    <w:p w14:paraId="3B566E18" w14:textId="10213685" w:rsidR="00AA1324" w:rsidRPr="00171158" w:rsidRDefault="00AA1324" w:rsidP="1DBFBDCC">
      <w:pPr>
        <w:pStyle w:val="ListParagraph"/>
        <w:numPr>
          <w:ilvl w:val="0"/>
          <w:numId w:val="36"/>
        </w:numPr>
        <w:spacing w:after="120" w:afterAutospacing="0"/>
        <w:rPr>
          <w:rFonts w:ascii="Rubik" w:hAnsi="Rubik" w:cs="Rubik"/>
          <w:color w:val="253B61"/>
        </w:rPr>
      </w:pPr>
      <w:r w:rsidRPr="00171158">
        <w:rPr>
          <w:rFonts w:ascii="Rubik" w:hAnsi="Rubik" w:cs="Rubik"/>
          <w:color w:val="253B61"/>
        </w:rPr>
        <w:t>There is a clear process in place to respond to requests in a timely and helpful manner</w:t>
      </w:r>
      <w:r w:rsidR="005727B9" w:rsidRPr="00171158">
        <w:rPr>
          <w:rFonts w:ascii="Rubik" w:hAnsi="Rubik" w:cs="Rubik"/>
          <w:color w:val="253B61"/>
        </w:rPr>
        <w:t>,</w:t>
      </w:r>
      <w:r w:rsidRPr="00171158">
        <w:rPr>
          <w:rFonts w:ascii="Rubik" w:hAnsi="Rubik" w:cs="Rubik"/>
          <w:color w:val="253B61"/>
        </w:rPr>
        <w:t xml:space="preserve"> </w:t>
      </w:r>
    </w:p>
    <w:p w14:paraId="7DCA6DA6" w14:textId="4BB96799" w:rsidR="00AA1324" w:rsidRPr="00171158" w:rsidRDefault="00AA1324" w:rsidP="1DBFBDCC">
      <w:pPr>
        <w:pStyle w:val="ListParagraph"/>
        <w:numPr>
          <w:ilvl w:val="0"/>
          <w:numId w:val="36"/>
        </w:numPr>
        <w:spacing w:after="120" w:afterAutospacing="0"/>
        <w:rPr>
          <w:rFonts w:ascii="Rubik" w:hAnsi="Rubik" w:cs="Rubik"/>
          <w:color w:val="253B61"/>
        </w:rPr>
      </w:pPr>
      <w:r w:rsidRPr="00171158">
        <w:rPr>
          <w:rFonts w:ascii="Rubik" w:hAnsi="Rubik" w:cs="Rubik"/>
          <w:color w:val="253B61"/>
        </w:rPr>
        <w:t>The organisation has an open culture and attitude towards sharing relevant information with the public</w:t>
      </w:r>
      <w:r w:rsidR="005727B9" w:rsidRPr="00171158">
        <w:rPr>
          <w:rFonts w:ascii="Rubik" w:hAnsi="Rubik" w:cs="Rubik"/>
          <w:color w:val="253B61"/>
        </w:rPr>
        <w:t>,</w:t>
      </w:r>
    </w:p>
    <w:p w14:paraId="215758DE" w14:textId="1CAAC7FC" w:rsidR="00AA1324" w:rsidRPr="00171158" w:rsidRDefault="00AA1324" w:rsidP="1DBFBDCC">
      <w:pPr>
        <w:pStyle w:val="ListParagraph"/>
        <w:numPr>
          <w:ilvl w:val="0"/>
          <w:numId w:val="36"/>
        </w:numPr>
        <w:spacing w:after="120" w:afterAutospacing="0"/>
        <w:rPr>
          <w:rFonts w:ascii="Rubik" w:hAnsi="Rubik" w:cs="Rubik"/>
          <w:color w:val="253B61"/>
        </w:rPr>
      </w:pPr>
      <w:r w:rsidRPr="00171158">
        <w:rPr>
          <w:rFonts w:ascii="Rubik" w:hAnsi="Rubik" w:cs="Rubik"/>
          <w:color w:val="253B61"/>
        </w:rPr>
        <w:t>The organisation is clear about what information cannot be shared under FOIA/EIR and what is covered under the</w:t>
      </w:r>
      <w:r w:rsidR="00B814B5" w:rsidRPr="00171158">
        <w:rPr>
          <w:rFonts w:ascii="Rubik" w:hAnsi="Rubik" w:cs="Rubik"/>
          <w:color w:val="253B61"/>
        </w:rPr>
        <w:t xml:space="preserve"> </w:t>
      </w:r>
      <w:r w:rsidRPr="00171158">
        <w:rPr>
          <w:rFonts w:ascii="Rubik" w:hAnsi="Rubik" w:cs="Rubik"/>
          <w:color w:val="253B61"/>
        </w:rPr>
        <w:t>Data Protection Act (DPA) 2018</w:t>
      </w:r>
      <w:r w:rsidR="005727B9" w:rsidRPr="00171158">
        <w:rPr>
          <w:rFonts w:ascii="Rubik" w:hAnsi="Rubik" w:cs="Rubik"/>
          <w:color w:val="253B61"/>
        </w:rPr>
        <w:t>, and</w:t>
      </w:r>
    </w:p>
    <w:p w14:paraId="2EF90BED" w14:textId="246EEA4A" w:rsidR="00AA1324" w:rsidRPr="00171158" w:rsidRDefault="00AA1324" w:rsidP="1DBFBDCC">
      <w:pPr>
        <w:pStyle w:val="ListParagraph"/>
        <w:numPr>
          <w:ilvl w:val="0"/>
          <w:numId w:val="36"/>
        </w:numPr>
        <w:spacing w:after="120" w:afterAutospacing="0"/>
        <w:rPr>
          <w:rFonts w:ascii="Rubik" w:hAnsi="Rubik" w:cs="Rubik"/>
          <w:color w:val="253B61"/>
          <w:sz w:val="24"/>
          <w:szCs w:val="24"/>
        </w:rPr>
      </w:pPr>
      <w:r w:rsidRPr="00171158">
        <w:rPr>
          <w:rFonts w:ascii="Rubik" w:hAnsi="Rubik" w:cs="Rubik"/>
          <w:color w:val="253B61"/>
        </w:rPr>
        <w:t>The organisation has an FOI Publication Scheme in place</w:t>
      </w:r>
      <w:r w:rsidR="005727B9" w:rsidRPr="00171158">
        <w:rPr>
          <w:rFonts w:ascii="Rubik" w:hAnsi="Rubik" w:cs="Rubik"/>
          <w:color w:val="253B61"/>
        </w:rPr>
        <w:t>.</w:t>
      </w:r>
    </w:p>
    <w:p w14:paraId="023D944A" w14:textId="2436F9D3" w:rsidR="75E8815D" w:rsidRPr="00171158" w:rsidRDefault="75E8815D" w:rsidP="1DBFBDCC">
      <w:pPr>
        <w:pStyle w:val="ListParagraph"/>
        <w:spacing w:after="120" w:afterAutospacing="0"/>
        <w:rPr>
          <w:rFonts w:ascii="Rubik" w:hAnsi="Rubik" w:cs="Rubik"/>
          <w:color w:val="253B61"/>
          <w:sz w:val="24"/>
          <w:szCs w:val="24"/>
        </w:rPr>
      </w:pPr>
    </w:p>
    <w:p w14:paraId="234B3D52" w14:textId="77777777" w:rsidR="00AA1324" w:rsidRPr="00171158" w:rsidRDefault="00AA1324" w:rsidP="007C45DB">
      <w:pPr>
        <w:pStyle w:val="Heading1"/>
      </w:pPr>
      <w:bookmarkStart w:id="4" w:name="_Toc224130452"/>
      <w:r w:rsidRPr="00171158">
        <w:t>Scope</w:t>
      </w:r>
      <w:bookmarkEnd w:id="4"/>
    </w:p>
    <w:p w14:paraId="6E9B2773" w14:textId="2F3480D3" w:rsidR="00AA1324" w:rsidRPr="00171158" w:rsidRDefault="00AA1324" w:rsidP="1DBFBDCC">
      <w:pPr>
        <w:spacing w:before="20" w:beforeAutospacing="0" w:after="120" w:afterAutospacing="0"/>
        <w:rPr>
          <w:rFonts w:ascii="Rubik" w:hAnsi="Rubik" w:cs="Rubik"/>
          <w:color w:val="253B61"/>
        </w:rPr>
      </w:pPr>
      <w:r w:rsidRPr="00171158">
        <w:rPr>
          <w:rFonts w:ascii="Rubik" w:hAnsi="Rubik" w:cs="Rubik"/>
          <w:color w:val="253B61"/>
        </w:rPr>
        <w:t>This procedure applies to all staff of</w:t>
      </w:r>
      <w:r w:rsidR="00E03667">
        <w:rPr>
          <w:rFonts w:ascii="Rubik" w:hAnsi="Rubik" w:cs="Rubik"/>
          <w:color w:val="253B61"/>
        </w:rPr>
        <w:t xml:space="preserve"> Argyle Medical Group</w:t>
      </w:r>
      <w:r w:rsidRPr="00171158">
        <w:rPr>
          <w:rFonts w:ascii="Rubik" w:hAnsi="Rubik" w:cs="Rubik"/>
          <w:color w:val="253B61"/>
        </w:rPr>
        <w:t xml:space="preserve">.  </w:t>
      </w:r>
    </w:p>
    <w:p w14:paraId="6B031AE4" w14:textId="77777777" w:rsidR="00E03667" w:rsidRDefault="00AA1324" w:rsidP="1DBFBDCC">
      <w:pPr>
        <w:spacing w:before="20" w:beforeAutospacing="0" w:after="120" w:afterAutospacing="0"/>
        <w:rPr>
          <w:rFonts w:ascii="Rubik" w:hAnsi="Rubik" w:cs="Rubik"/>
          <w:color w:val="253B61"/>
        </w:rPr>
      </w:pPr>
      <w:r w:rsidRPr="00171158">
        <w:rPr>
          <w:rFonts w:ascii="Rubik" w:hAnsi="Rubik" w:cs="Rubik"/>
          <w:color w:val="253B61"/>
        </w:rPr>
        <w:t xml:space="preserve">The term ‘staff’ includes all health professionals, partners, staff members, locums, students, trainees, secondees, volunteers, contracted third parties and any persons undertaking duties on behalf of </w:t>
      </w:r>
      <w:r w:rsidR="00E03667">
        <w:rPr>
          <w:rFonts w:ascii="Rubik" w:hAnsi="Rubik" w:cs="Rubik"/>
          <w:color w:val="253B61"/>
        </w:rPr>
        <w:t xml:space="preserve">Argyle Medical </w:t>
      </w:r>
      <w:proofErr w:type="gramStart"/>
      <w:r w:rsidR="00E03667">
        <w:rPr>
          <w:rFonts w:ascii="Rubik" w:hAnsi="Rubik" w:cs="Rubik"/>
          <w:color w:val="253B61"/>
        </w:rPr>
        <w:t>Group</w:t>
      </w:r>
      <w:r w:rsidR="00E03667" w:rsidRPr="00171158">
        <w:rPr>
          <w:rFonts w:ascii="Rubik" w:hAnsi="Rubik" w:cs="Rubik"/>
          <w:color w:val="253B61"/>
        </w:rPr>
        <w:t xml:space="preserve"> </w:t>
      </w:r>
      <w:r w:rsidR="00E03667">
        <w:rPr>
          <w:rFonts w:ascii="Rubik" w:hAnsi="Rubik" w:cs="Rubik"/>
          <w:color w:val="253B61"/>
        </w:rPr>
        <w:t>.</w:t>
      </w:r>
      <w:proofErr w:type="gramEnd"/>
    </w:p>
    <w:p w14:paraId="6C1CB911" w14:textId="6D5B84D0" w:rsidR="00AA1324" w:rsidRPr="00171158" w:rsidRDefault="00AA1324" w:rsidP="1DBFBDCC">
      <w:pPr>
        <w:spacing w:before="20" w:beforeAutospacing="0" w:after="120" w:afterAutospacing="0"/>
        <w:rPr>
          <w:rFonts w:ascii="Rubik" w:hAnsi="Rubik" w:cs="Rubik"/>
          <w:color w:val="253B61"/>
        </w:rPr>
      </w:pPr>
      <w:r w:rsidRPr="00171158">
        <w:rPr>
          <w:rFonts w:ascii="Rubik" w:hAnsi="Rubik" w:cs="Rubik"/>
          <w:color w:val="253B61"/>
        </w:rPr>
        <w:t xml:space="preserve">This procedure is supplementary to the organisation’s Information Governance Policy and sets out the arrangements in place to manage FOI and EIR requests as set out in the policy. It must be read in conjunction with the policy. </w:t>
      </w:r>
    </w:p>
    <w:p w14:paraId="6F7754CA" w14:textId="7C74E3C4" w:rsidR="716B102A" w:rsidRPr="00171158" w:rsidRDefault="716B102A" w:rsidP="1DBFBDCC">
      <w:pPr>
        <w:spacing w:after="120" w:afterAutospacing="0"/>
        <w:rPr>
          <w:rFonts w:ascii="Rubik" w:hAnsi="Rubik" w:cs="Rubik"/>
          <w:color w:val="253B61"/>
        </w:rPr>
      </w:pPr>
    </w:p>
    <w:p w14:paraId="24F4B46B" w14:textId="677779EF" w:rsidR="00AA1324" w:rsidRPr="00171158" w:rsidRDefault="00BC04D3" w:rsidP="00BC04D3">
      <w:pPr>
        <w:pStyle w:val="Heading1"/>
        <w:numPr>
          <w:ilvl w:val="0"/>
          <w:numId w:val="0"/>
        </w:numPr>
        <w:ind w:left="360" w:hanging="360"/>
        <w:rPr>
          <w:highlight w:val="yellow"/>
        </w:rPr>
      </w:pPr>
      <w:bookmarkStart w:id="5" w:name="_Toc224130453"/>
      <w:r>
        <w:t>7.</w:t>
      </w:r>
      <w:r w:rsidR="00AA1324" w:rsidRPr="00E03667">
        <w:t>Roles</w:t>
      </w:r>
      <w:r w:rsidR="00AA1324" w:rsidRPr="00171158">
        <w:t xml:space="preserve"> and Responsibilities</w:t>
      </w:r>
      <w:bookmarkEnd w:id="5"/>
      <w:r w:rsidR="00AA1324" w:rsidRPr="00171158">
        <w:t xml:space="preserve"> </w:t>
      </w:r>
    </w:p>
    <w:p w14:paraId="5ABA2E6F" w14:textId="77777777" w:rsidR="00AA1324" w:rsidRPr="00171158" w:rsidRDefault="00AA1324" w:rsidP="007C45DB">
      <w:pPr>
        <w:pStyle w:val="Heading2"/>
        <w:numPr>
          <w:ilvl w:val="1"/>
          <w:numId w:val="4"/>
        </w:numPr>
      </w:pPr>
      <w:r w:rsidRPr="00171158">
        <w:t xml:space="preserve"> </w:t>
      </w:r>
      <w:bookmarkStart w:id="6" w:name="_Toc224130454"/>
      <w:r w:rsidRPr="00171158">
        <w:t>Senior Responsible Person</w:t>
      </w:r>
      <w:bookmarkEnd w:id="6"/>
    </w:p>
    <w:p w14:paraId="33942FB1"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The Senior Responsible Person within the organisation is responsible for ensuring the highest level of organisational commitment to this procedure and the availability of resources to support its implementation. Where appropriate, the Senior Responsible Person may delegate specific tasks to other individuals who have responsibility for ensuring all FOI and EIR requests are dealt with in line with this procedure.</w:t>
      </w:r>
    </w:p>
    <w:p w14:paraId="56F66B32" w14:textId="77777777" w:rsidR="00AA1324" w:rsidRPr="00171158" w:rsidRDefault="00AA1324" w:rsidP="007C45DB">
      <w:pPr>
        <w:pStyle w:val="Heading2"/>
        <w:numPr>
          <w:ilvl w:val="1"/>
          <w:numId w:val="4"/>
        </w:numPr>
      </w:pPr>
      <w:r w:rsidRPr="00171158">
        <w:t xml:space="preserve"> </w:t>
      </w:r>
      <w:bookmarkStart w:id="7" w:name="_Toc224130455"/>
      <w:r w:rsidRPr="00171158">
        <w:t>Information Governance Lead</w:t>
      </w:r>
      <w:bookmarkEnd w:id="7"/>
    </w:p>
    <w:p w14:paraId="467B4B75" w14:textId="77777777" w:rsidR="00AA1324" w:rsidRPr="00171158" w:rsidRDefault="00AA1324" w:rsidP="1DBFBDCC">
      <w:pPr>
        <w:spacing w:after="120" w:afterAutospacing="0"/>
        <w:rPr>
          <w:rFonts w:ascii="Rubik" w:hAnsi="Rubik" w:cs="Rubik"/>
          <w:color w:val="253B61"/>
          <w:highlight w:val="yellow"/>
        </w:rPr>
      </w:pPr>
      <w:r w:rsidRPr="00171158">
        <w:rPr>
          <w:rStyle w:val="normaltextrun"/>
          <w:rFonts w:ascii="Rubik" w:hAnsi="Rubik" w:cs="Rubik"/>
          <w:color w:val="253B61"/>
          <w:shd w:val="clear" w:color="auto" w:fill="FFFFFF"/>
        </w:rPr>
        <w:lastRenderedPageBreak/>
        <w:t>The Information Governance (IG) Lead will receive specialist training in relation to managing and dealing with FOI and EIR requests and is</w:t>
      </w:r>
      <w:r w:rsidRPr="00171158">
        <w:rPr>
          <w:rStyle w:val="normaltextrun"/>
          <w:rFonts w:ascii="Rubik" w:hAnsi="Rubik" w:cs="Rubik"/>
          <w:b/>
          <w:bCs/>
          <w:color w:val="253B61"/>
          <w:shd w:val="clear" w:color="auto" w:fill="FFFFFF"/>
        </w:rPr>
        <w:t xml:space="preserve"> </w:t>
      </w:r>
      <w:r w:rsidRPr="00171158">
        <w:rPr>
          <w:rStyle w:val="normaltextrun"/>
          <w:rFonts w:ascii="Rubik" w:hAnsi="Rubik" w:cs="Rubik"/>
          <w:color w:val="253B61"/>
          <w:shd w:val="clear" w:color="auto" w:fill="FFFFFF"/>
        </w:rPr>
        <w:t xml:space="preserve">responsible for </w:t>
      </w:r>
      <w:r w:rsidRPr="00171158">
        <w:rPr>
          <w:rFonts w:ascii="Rubik" w:hAnsi="Rubik" w:cs="Rubik"/>
          <w:color w:val="253B61"/>
        </w:rPr>
        <w:t xml:space="preserve">overseeing the day-to-day duties relating to such requests. Where appropriate, the IG Lead may delegate specific tasks to other individuals who have received appropriate training. The </w:t>
      </w:r>
      <w:r w:rsidRPr="00171158">
        <w:rPr>
          <w:rStyle w:val="normaltextrun"/>
          <w:rFonts w:ascii="Rubik" w:hAnsi="Rubik" w:cs="Rubik"/>
          <w:color w:val="253B61"/>
          <w:shd w:val="clear" w:color="auto" w:fill="FFFFFF"/>
        </w:rPr>
        <w:t>IG Lead is also responsible for ensuring all staff are familiar with the procedure by having suitable access to this document and monitoring compliance against this procedure. </w:t>
      </w:r>
      <w:r w:rsidRPr="00171158">
        <w:rPr>
          <w:rStyle w:val="eop"/>
          <w:rFonts w:ascii="Rubik" w:hAnsi="Rubik" w:cs="Rubik"/>
          <w:color w:val="253B61"/>
          <w:shd w:val="clear" w:color="auto" w:fill="FFFFFF"/>
        </w:rPr>
        <w:t> </w:t>
      </w:r>
      <w:r w:rsidRPr="00171158">
        <w:rPr>
          <w:rFonts w:ascii="Rubik" w:hAnsi="Rubik" w:cs="Rubik"/>
          <w:color w:val="253B61"/>
        </w:rPr>
        <w:t xml:space="preserve"> </w:t>
      </w:r>
    </w:p>
    <w:p w14:paraId="030AAFBC" w14:textId="77777777" w:rsidR="00AA1324" w:rsidRPr="00171158" w:rsidRDefault="00AA1324" w:rsidP="007C45DB">
      <w:pPr>
        <w:pStyle w:val="Heading2"/>
        <w:numPr>
          <w:ilvl w:val="1"/>
          <w:numId w:val="4"/>
        </w:numPr>
      </w:pPr>
      <w:r w:rsidRPr="00171158">
        <w:t xml:space="preserve"> </w:t>
      </w:r>
      <w:bookmarkStart w:id="8" w:name="_Toc224130456"/>
      <w:r w:rsidRPr="00171158">
        <w:t>Data Protection Officer</w:t>
      </w:r>
      <w:bookmarkEnd w:id="8"/>
    </w:p>
    <w:p w14:paraId="4C0465CF"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The Data Protection Officer (DPO) will provide independent risk-based advice to support the organisation in its decision making. </w:t>
      </w:r>
    </w:p>
    <w:p w14:paraId="5FC29DFA"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The DPO can provide advice on: </w:t>
      </w:r>
    </w:p>
    <w:p w14:paraId="48336041" w14:textId="204264BE" w:rsidR="00AA1324" w:rsidRPr="00171158" w:rsidRDefault="00AA1324" w:rsidP="1DBFBDCC">
      <w:pPr>
        <w:pStyle w:val="ListParagraph"/>
        <w:numPr>
          <w:ilvl w:val="0"/>
          <w:numId w:val="36"/>
        </w:numPr>
        <w:spacing w:before="0" w:beforeAutospacing="0" w:after="120" w:afterAutospacing="0"/>
        <w:rPr>
          <w:rFonts w:ascii="Rubik" w:hAnsi="Rubik" w:cs="Rubik"/>
          <w:color w:val="253B61"/>
        </w:rPr>
      </w:pPr>
      <w:r w:rsidRPr="00171158">
        <w:rPr>
          <w:rFonts w:ascii="Rubik" w:hAnsi="Rubik" w:cs="Rubik"/>
          <w:color w:val="253B61"/>
        </w:rPr>
        <w:t>FOI and EIR requests and under what context these apply</w:t>
      </w:r>
    </w:p>
    <w:p w14:paraId="76006EAF" w14:textId="5ABED0BD" w:rsidR="00AA1324" w:rsidRPr="00171158" w:rsidRDefault="00AA1324" w:rsidP="1DBFBDCC">
      <w:pPr>
        <w:pStyle w:val="ListParagraph"/>
        <w:numPr>
          <w:ilvl w:val="0"/>
          <w:numId w:val="36"/>
        </w:numPr>
        <w:spacing w:before="0" w:beforeAutospacing="0" w:after="120" w:afterAutospacing="0"/>
        <w:rPr>
          <w:rFonts w:ascii="Rubik" w:hAnsi="Rubik" w:cs="Rubik"/>
          <w:color w:val="253B61"/>
        </w:rPr>
      </w:pPr>
      <w:r w:rsidRPr="00171158">
        <w:rPr>
          <w:rFonts w:ascii="Rubik" w:hAnsi="Rubik" w:cs="Rubik"/>
          <w:color w:val="253B61"/>
        </w:rPr>
        <w:t xml:space="preserve">Processing requests timeframes, refusal, exemptions and exceptions </w:t>
      </w:r>
    </w:p>
    <w:p w14:paraId="09A31DF2" w14:textId="77777777" w:rsidR="00AA1324" w:rsidRPr="00171158" w:rsidRDefault="00AA1324" w:rsidP="1DBFBDCC">
      <w:pPr>
        <w:pStyle w:val="ListParagraph"/>
        <w:numPr>
          <w:ilvl w:val="0"/>
          <w:numId w:val="37"/>
        </w:numPr>
        <w:spacing w:before="0" w:beforeAutospacing="0" w:after="120" w:afterAutospacing="0"/>
        <w:rPr>
          <w:rFonts w:ascii="Rubik" w:hAnsi="Rubik" w:cs="Rubik"/>
          <w:color w:val="253B61"/>
        </w:rPr>
      </w:pPr>
      <w:r w:rsidRPr="00171158">
        <w:rPr>
          <w:rFonts w:ascii="Rubik" w:hAnsi="Rubik" w:cs="Rubik"/>
          <w:color w:val="253B61"/>
        </w:rPr>
        <w:t>Complex responses</w:t>
      </w:r>
    </w:p>
    <w:p w14:paraId="51C095D2" w14:textId="77777777" w:rsidR="00AA1324" w:rsidRPr="00171158" w:rsidRDefault="00AA1324" w:rsidP="1DBFBDCC">
      <w:pPr>
        <w:pStyle w:val="ListParagraph"/>
        <w:numPr>
          <w:ilvl w:val="0"/>
          <w:numId w:val="37"/>
        </w:numPr>
        <w:spacing w:before="0" w:beforeAutospacing="0" w:after="120" w:afterAutospacing="0"/>
        <w:rPr>
          <w:rFonts w:ascii="Rubik" w:hAnsi="Rubik" w:cs="Rubik"/>
          <w:color w:val="253B61"/>
        </w:rPr>
      </w:pPr>
      <w:r w:rsidRPr="00171158">
        <w:rPr>
          <w:rFonts w:ascii="Rubik" w:hAnsi="Rubik" w:cs="Rubik"/>
          <w:color w:val="253B61"/>
        </w:rPr>
        <w:t>Advice on what can be disclosed under FOI and EIR and what should be disclosed under DPA</w:t>
      </w:r>
    </w:p>
    <w:p w14:paraId="64406903" w14:textId="05D2D350"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The Data Protection Officer for </w:t>
      </w:r>
      <w:r w:rsidR="00E03667">
        <w:rPr>
          <w:rFonts w:ascii="Rubik" w:hAnsi="Rubik" w:cs="Rubik"/>
          <w:color w:val="253B61"/>
        </w:rPr>
        <w:t>Argyle Medical Group</w:t>
      </w:r>
      <w:r w:rsidR="00E03667">
        <w:rPr>
          <w:rFonts w:ascii="Rubik" w:hAnsi="Rubik" w:cs="Rubik"/>
          <w:color w:val="253B61"/>
        </w:rPr>
        <w:t xml:space="preserve"> </w:t>
      </w:r>
      <w:r w:rsidRPr="00171158">
        <w:rPr>
          <w:rFonts w:ascii="Rubik" w:hAnsi="Rubik" w:cs="Rubik"/>
          <w:color w:val="253B61"/>
        </w:rPr>
        <w:t xml:space="preserve">is the Digital Health and Care Wales (DHCW) Data Protection Officer Support Service. </w:t>
      </w:r>
    </w:p>
    <w:p w14:paraId="19FDBCE8" w14:textId="77777777" w:rsidR="00E03667" w:rsidRDefault="00AA1324" w:rsidP="00E03667">
      <w:pPr>
        <w:spacing w:after="120" w:afterAutospacing="0"/>
        <w:rPr>
          <w:rFonts w:ascii="Rubik" w:hAnsi="Rubik" w:cs="Rubik"/>
          <w:color w:val="253B61"/>
        </w:rPr>
      </w:pPr>
      <w:r w:rsidRPr="00171158">
        <w:rPr>
          <w:rFonts w:ascii="Rubik" w:hAnsi="Rubik" w:cs="Rubik"/>
          <w:color w:val="253B61"/>
        </w:rPr>
        <w:t>The DPO can be contacted by emailing</w:t>
      </w:r>
      <w:r w:rsidR="001317BF" w:rsidRPr="00171158">
        <w:rPr>
          <w:rFonts w:ascii="Rubik" w:hAnsi="Rubik" w:cs="Rubik"/>
          <w:color w:val="253B61"/>
        </w:rPr>
        <w:t xml:space="preserve"> </w:t>
      </w:r>
      <w:hyperlink r:id="rId12">
        <w:r w:rsidR="001317BF" w:rsidRPr="00E03667">
          <w:rPr>
            <w:rStyle w:val="Hyperlink"/>
            <w:rFonts w:ascii="Rubik" w:hAnsi="Rubik" w:cs="Rubik"/>
            <w:color w:val="253B61"/>
          </w:rPr>
          <w:t>DHCWGMPDPO@wales.nhs.uk</w:t>
        </w:r>
      </w:hyperlink>
      <w:r w:rsidR="001317BF" w:rsidRPr="00E03667">
        <w:rPr>
          <w:rFonts w:ascii="Rubik" w:hAnsi="Rubik" w:cs="Rubik"/>
          <w:color w:val="253B61"/>
        </w:rPr>
        <w:t xml:space="preserve"> </w:t>
      </w:r>
    </w:p>
    <w:p w14:paraId="04EB778C" w14:textId="4D74EEE6" w:rsidR="00AA1324" w:rsidRPr="00171158" w:rsidRDefault="00AA1324" w:rsidP="00E03667">
      <w:pPr>
        <w:spacing w:after="120" w:afterAutospacing="0"/>
      </w:pPr>
      <w:r w:rsidRPr="00171158">
        <w:t xml:space="preserve"> All Staff</w:t>
      </w:r>
    </w:p>
    <w:p w14:paraId="5855F7DF"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All staff have a responsibility to familiarise themselves with the organisation’s FOI and EIR procedure and ensure they comply with its obligations.</w:t>
      </w:r>
    </w:p>
    <w:p w14:paraId="751300D2" w14:textId="3FCB0393"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All staff are responsible for ensuring they can recognise an FOI and EIR request and are able to act promptly should they receive such a request, in line with Section </w:t>
      </w:r>
      <w:r w:rsidR="001317BF" w:rsidRPr="00171158">
        <w:rPr>
          <w:rFonts w:ascii="Rubik" w:hAnsi="Rubik" w:cs="Rubik"/>
          <w:color w:val="253B61"/>
        </w:rPr>
        <w:t>6.2.1</w:t>
      </w:r>
      <w:r w:rsidRPr="00171158">
        <w:rPr>
          <w:rFonts w:ascii="Rubik" w:hAnsi="Rubik" w:cs="Rubik"/>
          <w:color w:val="253B61"/>
        </w:rPr>
        <w:t xml:space="preserve"> of this procedure.</w:t>
      </w:r>
    </w:p>
    <w:p w14:paraId="75137E2F" w14:textId="77777777" w:rsidR="00AA1324" w:rsidRPr="00171158" w:rsidRDefault="00AA1324" w:rsidP="007C45DB">
      <w:pPr>
        <w:pStyle w:val="Heading1"/>
        <w:numPr>
          <w:ilvl w:val="0"/>
          <w:numId w:val="3"/>
        </w:numPr>
      </w:pPr>
      <w:bookmarkStart w:id="9" w:name="_Toc224130457"/>
      <w:r w:rsidRPr="00171158">
        <w:t>Procedure</w:t>
      </w:r>
      <w:bookmarkEnd w:id="9"/>
    </w:p>
    <w:p w14:paraId="07DCC1B2" w14:textId="60D3E24F" w:rsidR="00AA1324" w:rsidRPr="00171158" w:rsidRDefault="00AA1324" w:rsidP="007C45DB">
      <w:pPr>
        <w:pStyle w:val="Heading2"/>
        <w:numPr>
          <w:ilvl w:val="1"/>
          <w:numId w:val="42"/>
        </w:numPr>
      </w:pPr>
      <w:bookmarkStart w:id="10" w:name="_Toc224130458"/>
      <w:r w:rsidRPr="00171158">
        <w:t>Requests for Information</w:t>
      </w:r>
      <w:bookmarkEnd w:id="10"/>
      <w:r w:rsidRPr="00171158">
        <w:t xml:space="preserve"> </w:t>
      </w:r>
    </w:p>
    <w:p w14:paraId="3AFF7D71" w14:textId="77777777" w:rsidR="00AA1324" w:rsidRPr="00171158" w:rsidRDefault="00AA1324" w:rsidP="007C45DB">
      <w:pPr>
        <w:pStyle w:val="Heading2"/>
        <w:numPr>
          <w:ilvl w:val="0"/>
          <w:numId w:val="0"/>
        </w:numPr>
        <w:ind w:left="360"/>
      </w:pPr>
      <w:bookmarkStart w:id="11" w:name="_Toc224130459"/>
      <w:r w:rsidRPr="00171158">
        <w:t>6.1.1 Timeframe</w:t>
      </w:r>
      <w:bookmarkEnd w:id="11"/>
    </w:p>
    <w:p w14:paraId="12C709B5" w14:textId="603ABCE6" w:rsidR="00AA1324" w:rsidRPr="00171158" w:rsidRDefault="00AA1324" w:rsidP="1DBFBDCC">
      <w:pPr>
        <w:pStyle w:val="ListParagraph"/>
        <w:spacing w:after="120" w:afterAutospacing="0"/>
        <w:ind w:left="0"/>
        <w:rPr>
          <w:rFonts w:ascii="Rubik" w:eastAsia="Times New Roman" w:hAnsi="Rubik" w:cs="Rubik"/>
          <w:color w:val="253B61"/>
          <w:lang w:eastAsia="en-GB"/>
        </w:rPr>
      </w:pPr>
      <w:r w:rsidRPr="00171158">
        <w:rPr>
          <w:rFonts w:ascii="Rubik" w:eastAsia="Times New Roman" w:hAnsi="Rubik" w:cs="Rubik"/>
          <w:color w:val="253B61"/>
          <w:lang w:eastAsia="en-GB"/>
        </w:rPr>
        <w:t>The FOI Act and EIR allows 20 working days to respond to a request for information. Working days are Monday to Friday for FOI and EIR purposes and do not include any UK Bank Holidays.</w:t>
      </w:r>
    </w:p>
    <w:p w14:paraId="78CC0E30" w14:textId="77777777" w:rsidR="00AA1324" w:rsidRPr="00171158" w:rsidRDefault="00AA1324" w:rsidP="1DBFBDCC">
      <w:pPr>
        <w:pStyle w:val="ListParagraph"/>
        <w:spacing w:after="120" w:afterAutospacing="0"/>
        <w:ind w:left="0"/>
        <w:rPr>
          <w:rFonts w:ascii="Rubik" w:eastAsia="Times New Roman" w:hAnsi="Rubik" w:cs="Rubik"/>
          <w:color w:val="253B61"/>
          <w:lang w:eastAsia="en-GB"/>
        </w:rPr>
      </w:pPr>
      <w:r w:rsidRPr="00171158">
        <w:rPr>
          <w:rFonts w:ascii="Rubik" w:eastAsia="Times New Roman" w:hAnsi="Rubik" w:cs="Rubik"/>
          <w:color w:val="253B61"/>
          <w:lang w:eastAsia="en-GB"/>
        </w:rPr>
        <w:t>The 20-day clock starts on the first working day after the request is received or, if clarification is sought, the day after further information is received from the applicant. If the response is completed prior to the 20-day time frame elapsing in full, then the response will be provided as soon as it is ready for release.</w:t>
      </w:r>
    </w:p>
    <w:p w14:paraId="4749326F" w14:textId="77777777" w:rsidR="00AA1324" w:rsidRPr="000F4028" w:rsidRDefault="00AA1324" w:rsidP="007C45DB">
      <w:pPr>
        <w:pStyle w:val="Heading2"/>
        <w:numPr>
          <w:ilvl w:val="0"/>
          <w:numId w:val="0"/>
        </w:numPr>
        <w:ind w:left="360"/>
        <w:rPr>
          <w:lang w:eastAsia="en-GB"/>
        </w:rPr>
      </w:pPr>
      <w:bookmarkStart w:id="12" w:name="_Toc224130460"/>
      <w:r w:rsidRPr="000F4028">
        <w:rPr>
          <w:lang w:eastAsia="en-GB"/>
        </w:rPr>
        <w:t>6.1.2 Information within remit of FOIA and EIR</w:t>
      </w:r>
      <w:bookmarkEnd w:id="12"/>
    </w:p>
    <w:p w14:paraId="5E20B4D9" w14:textId="77777777" w:rsidR="00AA1324" w:rsidRPr="00171158" w:rsidRDefault="00AA1324" w:rsidP="1DBFBDCC">
      <w:pPr>
        <w:spacing w:after="120" w:afterAutospacing="0"/>
        <w:rPr>
          <w:rFonts w:ascii="Rubik" w:eastAsia="Times New Roman" w:hAnsi="Rubik" w:cs="Rubik"/>
          <w:color w:val="253B61"/>
          <w:sz w:val="20"/>
          <w:szCs w:val="20"/>
          <w:lang w:eastAsia="en-GB"/>
        </w:rPr>
      </w:pPr>
      <w:r w:rsidRPr="00171158">
        <w:rPr>
          <w:rFonts w:ascii="Rubik" w:hAnsi="Rubik" w:cs="Rubik"/>
          <w:color w:val="253B61"/>
          <w:shd w:val="clear" w:color="auto" w:fill="FFFFFF"/>
        </w:rPr>
        <w:t xml:space="preserve">The Act covers all recorded information held by the </w:t>
      </w:r>
      <w:r w:rsidRPr="00171158">
        <w:rPr>
          <w:rFonts w:ascii="Rubik" w:hAnsi="Rubik" w:cs="Rubik"/>
          <w:color w:val="253B61"/>
        </w:rPr>
        <w:t>organisation.</w:t>
      </w:r>
      <w:r w:rsidRPr="00171158">
        <w:rPr>
          <w:rFonts w:ascii="Rubik" w:hAnsi="Rubik" w:cs="Rubik"/>
          <w:color w:val="253B61"/>
          <w:shd w:val="clear" w:color="auto" w:fill="FFFFFF"/>
        </w:rPr>
        <w:t xml:space="preserve"> It is not limited to official documents, and it may cover drafts, emails, notes, recordings of telephone conversations and CCTV recordings.</w:t>
      </w:r>
    </w:p>
    <w:p w14:paraId="27C6D195" w14:textId="777777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Emails and notes may be disclosed under the FOI Act and EIR if the text of these contain the requested information.</w:t>
      </w:r>
    </w:p>
    <w:p w14:paraId="1163186C" w14:textId="777777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lastRenderedPageBreak/>
        <w:t xml:space="preserve">Employees of the </w:t>
      </w:r>
      <w:r w:rsidRPr="00171158">
        <w:rPr>
          <w:rFonts w:ascii="Rubik" w:hAnsi="Rubik" w:cs="Rubik"/>
          <w:color w:val="253B61"/>
        </w:rPr>
        <w:t>organisation</w:t>
      </w:r>
      <w:r w:rsidRPr="00171158">
        <w:rPr>
          <w:rFonts w:ascii="Rubik" w:eastAsia="Times New Roman" w:hAnsi="Rubik" w:cs="Rubik"/>
          <w:color w:val="253B61"/>
          <w:lang w:eastAsia="en-GB"/>
        </w:rPr>
        <w:t xml:space="preserve"> relating to the request may be asked to search their emails and notes for relevant information. </w:t>
      </w:r>
    </w:p>
    <w:p w14:paraId="21ACB22A" w14:textId="77777777" w:rsidR="00AA1324" w:rsidRPr="00171158" w:rsidRDefault="00AA1324" w:rsidP="1DBFBDCC">
      <w:pPr>
        <w:spacing w:after="120" w:afterAutospacing="0"/>
        <w:rPr>
          <w:rFonts w:ascii="Rubik" w:hAnsi="Rubik" w:cs="Rubik"/>
          <w:color w:val="253B61"/>
          <w:shd w:val="clear" w:color="auto" w:fill="FFFFFF"/>
        </w:rPr>
      </w:pPr>
      <w:r w:rsidRPr="00171158">
        <w:rPr>
          <w:rFonts w:ascii="Rubik" w:hAnsi="Rubik" w:cs="Rubik"/>
          <w:color w:val="253B61"/>
          <w:shd w:val="clear" w:color="auto" w:fill="FFFFFF"/>
        </w:rPr>
        <w:t xml:space="preserve">Requests may be for less obvious sources of recorded information, such as the author and date of drafting, found in the properties of a document (sometimes called meta-data). This information is recorded so is covered by the Act and therefore the </w:t>
      </w:r>
      <w:r w:rsidRPr="00171158">
        <w:rPr>
          <w:rFonts w:ascii="Rubik" w:hAnsi="Rubik" w:cs="Rubik"/>
          <w:color w:val="253B61"/>
        </w:rPr>
        <w:t>organisation</w:t>
      </w:r>
      <w:r w:rsidRPr="00171158">
        <w:rPr>
          <w:rFonts w:ascii="Rubik" w:hAnsi="Rubik" w:cs="Rubik"/>
          <w:color w:val="253B61"/>
          <w:shd w:val="clear" w:color="auto" w:fill="FFFFFF"/>
        </w:rPr>
        <w:t xml:space="preserve"> must consider it for release in the normal way.</w:t>
      </w:r>
    </w:p>
    <w:p w14:paraId="793BC14F" w14:textId="77777777" w:rsidR="00AA1324" w:rsidRPr="00171158" w:rsidRDefault="00AA1324" w:rsidP="1DBFBDCC">
      <w:pPr>
        <w:spacing w:after="120" w:afterAutospacing="0"/>
        <w:rPr>
          <w:rFonts w:ascii="Rubik" w:hAnsi="Rubik" w:cs="Rubik"/>
          <w:color w:val="253B61"/>
          <w:shd w:val="clear" w:color="auto" w:fill="FFFFFF"/>
        </w:rPr>
      </w:pPr>
      <w:r w:rsidRPr="00171158">
        <w:rPr>
          <w:rFonts w:ascii="Rubik" w:hAnsi="Rubik" w:cs="Rubik"/>
          <w:color w:val="253B61"/>
          <w:shd w:val="clear" w:color="auto" w:fill="FFFFFF"/>
        </w:rPr>
        <w:t xml:space="preserve">However, the Act does not cover information that is in someone’s head. If a member of the public asks for information, the </w:t>
      </w:r>
      <w:r w:rsidRPr="00171158">
        <w:rPr>
          <w:rFonts w:ascii="Rubik" w:hAnsi="Rubik" w:cs="Rubik"/>
          <w:color w:val="253B61"/>
        </w:rPr>
        <w:t>organisation</w:t>
      </w:r>
      <w:r w:rsidRPr="00171158">
        <w:rPr>
          <w:rFonts w:ascii="Rubik" w:hAnsi="Rubik" w:cs="Rubik"/>
          <w:color w:val="253B61"/>
          <w:shd w:val="clear" w:color="auto" w:fill="FFFFFF"/>
        </w:rPr>
        <w:t xml:space="preserve"> is only obligated to provide information that already has in recorded form. The </w:t>
      </w:r>
      <w:r w:rsidRPr="00171158">
        <w:rPr>
          <w:rFonts w:ascii="Rubik" w:hAnsi="Rubik" w:cs="Rubik"/>
          <w:color w:val="253B61"/>
        </w:rPr>
        <w:t>organisation</w:t>
      </w:r>
      <w:r w:rsidRPr="00171158">
        <w:rPr>
          <w:rFonts w:ascii="Rubik" w:hAnsi="Rubik" w:cs="Rubik"/>
          <w:color w:val="253B61"/>
          <w:shd w:val="clear" w:color="auto" w:fill="FFFFFF"/>
        </w:rPr>
        <w:t xml:space="preserve"> does not have to create new information or find the answer to a question from staff who may happen to know it.</w:t>
      </w:r>
    </w:p>
    <w:p w14:paraId="0473DB8E" w14:textId="0BAD9E4D" w:rsidR="00AA1324" w:rsidRPr="000F4028" w:rsidRDefault="00AA1324" w:rsidP="007C45DB">
      <w:pPr>
        <w:pStyle w:val="Heading2"/>
        <w:numPr>
          <w:ilvl w:val="0"/>
          <w:numId w:val="0"/>
        </w:numPr>
        <w:ind w:left="360"/>
        <w:rPr>
          <w:lang w:eastAsia="en-GB"/>
        </w:rPr>
      </w:pPr>
      <w:bookmarkStart w:id="13" w:name="_Toc224130461"/>
      <w:r w:rsidRPr="000F4028">
        <w:rPr>
          <w:lang w:eastAsia="en-GB"/>
        </w:rPr>
        <w:t xml:space="preserve">6.1.3 Destruction of </w:t>
      </w:r>
      <w:r w:rsidR="00EE4975" w:rsidRPr="000F4028">
        <w:rPr>
          <w:lang w:eastAsia="en-GB"/>
        </w:rPr>
        <w:t>R</w:t>
      </w:r>
      <w:r w:rsidRPr="000F4028">
        <w:rPr>
          <w:lang w:eastAsia="en-GB"/>
        </w:rPr>
        <w:t>equested Information</w:t>
      </w:r>
      <w:bookmarkEnd w:id="13"/>
    </w:p>
    <w:p w14:paraId="6BBA80C5" w14:textId="58457CC0"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Information requested may have been destroyed before a request was received. In this instance, the</w:t>
      </w:r>
      <w:r w:rsidR="00E03667">
        <w:rPr>
          <w:rFonts w:ascii="Rubik" w:eastAsia="Times New Roman" w:hAnsi="Rubik" w:cs="Rubik"/>
          <w:color w:val="253B61"/>
          <w:lang w:eastAsia="en-GB"/>
        </w:rPr>
        <w:t xml:space="preserve"> IG Lead</w:t>
      </w:r>
      <w:r w:rsidRPr="00171158">
        <w:rPr>
          <w:rFonts w:ascii="Rubik" w:hAnsi="Rubik" w:cs="Rubik"/>
          <w:color w:val="253B61"/>
        </w:rPr>
        <w:t xml:space="preserve"> </w:t>
      </w:r>
      <w:r w:rsidRPr="00171158">
        <w:rPr>
          <w:rFonts w:ascii="Rubik" w:eastAsia="Times New Roman" w:hAnsi="Rubik" w:cs="Rubik"/>
          <w:color w:val="253B61"/>
          <w:lang w:eastAsia="en-GB"/>
        </w:rPr>
        <w:t xml:space="preserve">will advise the applicant that it does not hold the information and explain why it was destroyed. At the same time, the </w:t>
      </w:r>
      <w:r w:rsidRPr="00171158">
        <w:rPr>
          <w:rFonts w:ascii="Rubik" w:hAnsi="Rubik" w:cs="Rubik"/>
          <w:color w:val="253B61"/>
        </w:rPr>
        <w:t>organisation</w:t>
      </w:r>
      <w:r w:rsidRPr="00171158">
        <w:rPr>
          <w:rFonts w:ascii="Rubik" w:eastAsia="Times New Roman" w:hAnsi="Rubik" w:cs="Rubik"/>
          <w:color w:val="253B61"/>
          <w:lang w:eastAsia="en-GB"/>
        </w:rPr>
        <w:t xml:space="preserve"> may advise the applicant of any other relevant, available information that it does hold which may be of use to the applicant.</w:t>
      </w:r>
    </w:p>
    <w:p w14:paraId="6CEAE985" w14:textId="2DE095A9" w:rsidR="00AA1324" w:rsidRPr="00171158" w:rsidRDefault="00AA1324" w:rsidP="1DBFBDCC">
      <w:pPr>
        <w:shd w:val="clear" w:color="auto" w:fill="FFFFFF" w:themeFill="background1"/>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Should the information be scheduled for destruction but then a request is received</w:t>
      </w:r>
      <w:r w:rsidR="0033735E" w:rsidRPr="00171158">
        <w:rPr>
          <w:rFonts w:ascii="Rubik" w:eastAsia="Times New Roman" w:hAnsi="Rubik" w:cs="Rubik"/>
          <w:color w:val="253B61"/>
          <w:lang w:eastAsia="en-GB"/>
        </w:rPr>
        <w:t>,</w:t>
      </w:r>
      <w:r w:rsidRPr="00171158">
        <w:rPr>
          <w:rFonts w:ascii="Rubik" w:eastAsia="Times New Roman" w:hAnsi="Rubik" w:cs="Rubik"/>
          <w:color w:val="253B61"/>
          <w:lang w:eastAsia="en-GB"/>
        </w:rPr>
        <w:t xml:space="preserve"> the</w:t>
      </w:r>
      <w:r w:rsidRPr="00171158">
        <w:rPr>
          <w:rFonts w:ascii="Rubik" w:hAnsi="Rubik" w:cs="Rubik"/>
          <w:color w:val="253B61"/>
        </w:rPr>
        <w:t xml:space="preserve"> organisation</w:t>
      </w:r>
      <w:r w:rsidRPr="00171158">
        <w:rPr>
          <w:rFonts w:ascii="Rubik" w:eastAsia="Times New Roman" w:hAnsi="Rubik" w:cs="Rubik"/>
          <w:color w:val="253B61"/>
          <w:lang w:eastAsia="en-GB"/>
        </w:rPr>
        <w:t xml:space="preserve"> will </w:t>
      </w:r>
      <w:r w:rsidRPr="00171158">
        <w:rPr>
          <w:rFonts w:ascii="Rubik" w:hAnsi="Rubik" w:cs="Rubik"/>
          <w:color w:val="253B61"/>
          <w:shd w:val="clear" w:color="auto" w:fill="FFFFFF"/>
        </w:rPr>
        <w:t>preserve any information they identify as falling within the scope of an information request to prevent its deletion or amendment.</w:t>
      </w:r>
    </w:p>
    <w:p w14:paraId="0B0D7926" w14:textId="77777777" w:rsidR="00AA1324" w:rsidRPr="00171158" w:rsidRDefault="00AA1324" w:rsidP="1DBFBDCC">
      <w:pPr>
        <w:shd w:val="clear" w:color="auto" w:fill="FFFFFF" w:themeFill="background1"/>
        <w:spacing w:after="120" w:afterAutospacing="0"/>
        <w:rPr>
          <w:rFonts w:ascii="Rubik" w:hAnsi="Rubik" w:cs="Rubik"/>
          <w:color w:val="253B61"/>
          <w:shd w:val="clear" w:color="auto" w:fill="FFFFFF"/>
        </w:rPr>
      </w:pPr>
      <w:hyperlink r:id="rId13" w:history="1">
        <w:r w:rsidRPr="00171158">
          <w:rPr>
            <w:rFonts w:ascii="Rubik" w:eastAsia="Times New Roman" w:hAnsi="Rubik" w:cs="Rubik"/>
            <w:color w:val="253B61"/>
            <w:u w:val="single"/>
            <w:lang w:eastAsia="en-GB"/>
          </w:rPr>
          <w:t>Section 77</w:t>
        </w:r>
      </w:hyperlink>
      <w:r w:rsidRPr="00171158">
        <w:rPr>
          <w:rFonts w:ascii="Rubik" w:eastAsia="Times New Roman" w:hAnsi="Rubik" w:cs="Rubik"/>
          <w:color w:val="253B61"/>
          <w:lang w:eastAsia="en-GB"/>
        </w:rPr>
        <w:t xml:space="preserve"> of the Freedom of Information Act 2000 (FOI) makes it a criminal offence for a person to do anything with the intention of preventing the disclosure of information pursuant to an FOI request. </w:t>
      </w:r>
      <w:r w:rsidRPr="00171158">
        <w:rPr>
          <w:rFonts w:ascii="Rubik" w:hAnsi="Rubik" w:cs="Rubik"/>
          <w:color w:val="253B61"/>
          <w:shd w:val="clear" w:color="auto" w:fill="FFFFFF"/>
        </w:rPr>
        <w:t xml:space="preserve">These provisions mean it is an offence for the </w:t>
      </w:r>
      <w:r w:rsidRPr="00171158">
        <w:rPr>
          <w:rFonts w:ascii="Rubik" w:hAnsi="Rubik" w:cs="Rubik"/>
          <w:color w:val="253B61"/>
        </w:rPr>
        <w:t>organisation</w:t>
      </w:r>
      <w:r w:rsidRPr="00171158">
        <w:rPr>
          <w:rFonts w:ascii="Rubik" w:hAnsi="Rubik" w:cs="Rubik"/>
          <w:color w:val="253B61"/>
          <w:shd w:val="clear" w:color="auto" w:fill="FFFFFF"/>
        </w:rPr>
        <w:t xml:space="preserve"> to intentionally delete or amend information to prevent disclosure if someone has already requested it and they would have been entitled to receive it</w:t>
      </w:r>
      <w:r w:rsidRPr="00171158">
        <w:rPr>
          <w:rFonts w:ascii="Rubik" w:hAnsi="Rubik" w:cs="Rubik"/>
          <w:color w:val="253B61"/>
        </w:rPr>
        <w:t>.</w:t>
      </w:r>
    </w:p>
    <w:p w14:paraId="1EED5497" w14:textId="77777777" w:rsidR="00AA1324" w:rsidRPr="00171158" w:rsidRDefault="00AA1324" w:rsidP="007C45DB">
      <w:pPr>
        <w:pStyle w:val="Heading2"/>
        <w:numPr>
          <w:ilvl w:val="1"/>
          <w:numId w:val="30"/>
        </w:numPr>
        <w:rPr>
          <w:lang w:eastAsia="en-GB"/>
        </w:rPr>
      </w:pPr>
      <w:r w:rsidRPr="00171158">
        <w:rPr>
          <w:lang w:eastAsia="en-GB"/>
        </w:rPr>
        <w:t xml:space="preserve"> </w:t>
      </w:r>
      <w:bookmarkStart w:id="14" w:name="_Toc224130462"/>
      <w:r w:rsidRPr="00171158">
        <w:rPr>
          <w:lang w:eastAsia="en-GB"/>
        </w:rPr>
        <w:t>Processing a Request</w:t>
      </w:r>
      <w:bookmarkEnd w:id="14"/>
    </w:p>
    <w:p w14:paraId="11D2D7A9" w14:textId="77777777" w:rsidR="00AA1324" w:rsidRPr="000F4028" w:rsidRDefault="00AA1324" w:rsidP="007C45DB">
      <w:pPr>
        <w:pStyle w:val="Heading2"/>
        <w:numPr>
          <w:ilvl w:val="0"/>
          <w:numId w:val="0"/>
        </w:numPr>
        <w:rPr>
          <w:lang w:eastAsia="en-GB"/>
        </w:rPr>
      </w:pPr>
      <w:bookmarkStart w:id="15" w:name="_Toc224130463"/>
      <w:r w:rsidRPr="000F4028">
        <w:rPr>
          <w:lang w:eastAsia="en-GB"/>
        </w:rPr>
        <w:t>6.2.1 Receiving a Request</w:t>
      </w:r>
      <w:bookmarkEnd w:id="15"/>
    </w:p>
    <w:p w14:paraId="60A827B7" w14:textId="77777777" w:rsidR="00AA1324" w:rsidRPr="00171158" w:rsidRDefault="00AA1324" w:rsidP="1DBFBDCC">
      <w:pPr>
        <w:pStyle w:val="NormalWeb"/>
        <w:spacing w:after="120" w:afterAutospacing="0"/>
        <w:rPr>
          <w:rFonts w:ascii="Rubik" w:hAnsi="Rubik" w:cs="Rubik"/>
          <w:color w:val="253B61"/>
          <w:sz w:val="22"/>
          <w:szCs w:val="22"/>
        </w:rPr>
      </w:pPr>
      <w:r w:rsidRPr="00171158">
        <w:rPr>
          <w:rFonts w:ascii="Rubik" w:hAnsi="Rubik" w:cs="Rubik"/>
          <w:color w:val="253B61"/>
          <w:sz w:val="22"/>
          <w:szCs w:val="22"/>
        </w:rPr>
        <w:t xml:space="preserve">A request under the FOI Act and EIR can be made by anyone from any location. This includes requests made by employees, the public or external organisations. </w:t>
      </w:r>
    </w:p>
    <w:p w14:paraId="2E086F99"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Where an applicant requests information about themselves, then they will be asked to make a Subject Access Request under the Data Protection Act 2018. </w:t>
      </w:r>
    </w:p>
    <w:p w14:paraId="14AE0B70" w14:textId="77777777" w:rsidR="00AA1324" w:rsidRPr="00171158" w:rsidRDefault="00AA1324" w:rsidP="1DBFBDCC">
      <w:pPr>
        <w:pStyle w:val="NormalWeb"/>
        <w:spacing w:after="120" w:afterAutospacing="0"/>
        <w:rPr>
          <w:rFonts w:ascii="Rubik" w:hAnsi="Rubik" w:cs="Rubik"/>
          <w:color w:val="253B61"/>
          <w:sz w:val="22"/>
          <w:szCs w:val="22"/>
        </w:rPr>
      </w:pPr>
      <w:r w:rsidRPr="00171158">
        <w:rPr>
          <w:rFonts w:ascii="Rubik" w:hAnsi="Rubik" w:cs="Rubik"/>
          <w:color w:val="253B61"/>
          <w:sz w:val="22"/>
          <w:szCs w:val="22"/>
        </w:rPr>
        <w:t>To be valid, the request does not have to mention specific terminology such as ‘Freedom of Information’ or ‘the Act’ or ‘Environmental Information Regulation’ but it must:</w:t>
      </w:r>
    </w:p>
    <w:p w14:paraId="73F98CC5" w14:textId="77777777" w:rsidR="00AA1324" w:rsidRPr="00171158" w:rsidRDefault="00AA1324" w:rsidP="1DBFBDCC">
      <w:pPr>
        <w:pStyle w:val="NormalWeb"/>
        <w:numPr>
          <w:ilvl w:val="0"/>
          <w:numId w:val="8"/>
        </w:numPr>
        <w:spacing w:after="120" w:afterAutospacing="0"/>
        <w:rPr>
          <w:rFonts w:ascii="Rubik" w:hAnsi="Rubik" w:cs="Rubik"/>
          <w:color w:val="253B61"/>
          <w:sz w:val="22"/>
          <w:szCs w:val="22"/>
        </w:rPr>
      </w:pPr>
      <w:r w:rsidRPr="00171158">
        <w:rPr>
          <w:rFonts w:ascii="Rubik" w:hAnsi="Rubik" w:cs="Rubik"/>
          <w:color w:val="253B61"/>
          <w:sz w:val="22"/>
          <w:szCs w:val="22"/>
        </w:rPr>
        <w:t xml:space="preserve">Be in writing </w:t>
      </w:r>
      <w:r w:rsidRPr="00171158">
        <w:rPr>
          <w:rFonts w:ascii="Rubik" w:hAnsi="Rubik" w:cs="Rubik"/>
          <w:b/>
          <w:i/>
          <w:color w:val="253B61"/>
          <w:sz w:val="22"/>
          <w:szCs w:val="22"/>
        </w:rPr>
        <w:t>(except for EIR requests which can be made verbally and constitutes of information relating to the environment, such as air and atmosphere, water, soil, land, landscape and natural sites and the interaction between these elements or factors such as substances, energy, noise, radiation or waste affecting or likely to affect the elements of the environment)</w:t>
      </w:r>
    </w:p>
    <w:p w14:paraId="479A4D8A" w14:textId="77777777" w:rsidR="00AA1324" w:rsidRPr="00171158" w:rsidRDefault="00AA1324" w:rsidP="1DBFBDCC">
      <w:pPr>
        <w:pStyle w:val="ListParagraph"/>
        <w:numPr>
          <w:ilvl w:val="0"/>
          <w:numId w:val="8"/>
        </w:numPr>
        <w:spacing w:after="120" w:afterAutospacing="0" w:line="256" w:lineRule="auto"/>
        <w:rPr>
          <w:rFonts w:ascii="Rubik" w:hAnsi="Rubik" w:cs="Rubik"/>
          <w:color w:val="253B61"/>
        </w:rPr>
      </w:pPr>
      <w:r w:rsidRPr="00171158">
        <w:rPr>
          <w:rFonts w:ascii="Rubik" w:hAnsi="Rubik" w:cs="Rubik"/>
          <w:color w:val="253B61"/>
        </w:rPr>
        <w:t>State the name of the applicant and a valid address or e-mail address for correspondence</w:t>
      </w:r>
    </w:p>
    <w:p w14:paraId="059D773C" w14:textId="77777777" w:rsidR="00AA1324" w:rsidRPr="00171158" w:rsidRDefault="00AA1324" w:rsidP="1DBFBDCC">
      <w:pPr>
        <w:pStyle w:val="ListParagraph"/>
        <w:numPr>
          <w:ilvl w:val="0"/>
          <w:numId w:val="8"/>
        </w:numPr>
        <w:spacing w:after="120" w:afterAutospacing="0" w:line="256" w:lineRule="auto"/>
        <w:rPr>
          <w:rFonts w:ascii="Rubik" w:hAnsi="Rubik" w:cs="Rubik"/>
          <w:color w:val="253B61"/>
        </w:rPr>
      </w:pPr>
      <w:r w:rsidRPr="00171158">
        <w:rPr>
          <w:rFonts w:ascii="Rubik" w:hAnsi="Rubik" w:cs="Rubik"/>
          <w:color w:val="253B61"/>
        </w:rPr>
        <w:t>Describe the information requested</w:t>
      </w:r>
    </w:p>
    <w:p w14:paraId="04F3F2F2" w14:textId="77777777" w:rsidR="00AA1324" w:rsidRPr="00171158" w:rsidRDefault="00AA1324" w:rsidP="1DBFBDCC">
      <w:pPr>
        <w:pStyle w:val="ListParagraph"/>
        <w:numPr>
          <w:ilvl w:val="0"/>
          <w:numId w:val="8"/>
        </w:numPr>
        <w:spacing w:after="120" w:afterAutospacing="0" w:line="256" w:lineRule="auto"/>
        <w:rPr>
          <w:rFonts w:ascii="Rubik" w:hAnsi="Rubik" w:cs="Rubik"/>
          <w:color w:val="253B61"/>
        </w:rPr>
      </w:pPr>
      <w:r w:rsidRPr="00171158">
        <w:rPr>
          <w:rFonts w:ascii="Rubik" w:hAnsi="Rubik" w:cs="Rubik"/>
          <w:color w:val="253B61"/>
        </w:rPr>
        <w:t>Be in a legible form</w:t>
      </w:r>
    </w:p>
    <w:p w14:paraId="1DBBDF98" w14:textId="77777777" w:rsidR="00AA1324" w:rsidRPr="00171158" w:rsidRDefault="00AA1324" w:rsidP="1DBFBDCC">
      <w:pPr>
        <w:pStyle w:val="ListParagraph"/>
        <w:numPr>
          <w:ilvl w:val="0"/>
          <w:numId w:val="8"/>
        </w:numPr>
        <w:spacing w:after="120" w:afterAutospacing="0" w:line="256" w:lineRule="auto"/>
        <w:rPr>
          <w:rFonts w:ascii="Rubik" w:hAnsi="Rubik" w:cs="Rubik"/>
          <w:color w:val="253B61"/>
        </w:rPr>
      </w:pPr>
      <w:r w:rsidRPr="00171158">
        <w:rPr>
          <w:rFonts w:ascii="Rubik" w:hAnsi="Rubik" w:cs="Rubik"/>
          <w:color w:val="253B61"/>
        </w:rPr>
        <w:t>Be capable of being used for subsequent reference</w:t>
      </w:r>
    </w:p>
    <w:p w14:paraId="4B7D8E1A"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lastRenderedPageBreak/>
        <w:t xml:space="preserve">The term ‘in writing’ covers all requests submitted by letter or electronic form, including those sent via social media. The request does not have to make direct reference to the FOI Act or EIR or be the sole or main theme of the correspondence. </w:t>
      </w:r>
    </w:p>
    <w:p w14:paraId="2AC16B04" w14:textId="2CB5C0A5" w:rsidR="00AA1324" w:rsidRPr="00171158" w:rsidRDefault="00AA1324" w:rsidP="1DBFBDCC">
      <w:pPr>
        <w:spacing w:after="120" w:afterAutospacing="0"/>
        <w:rPr>
          <w:rFonts w:ascii="Rubik" w:hAnsi="Rubik" w:cs="Rubik"/>
          <w:color w:val="253B61"/>
        </w:rPr>
      </w:pPr>
      <w:r w:rsidRPr="00171158">
        <w:rPr>
          <w:rFonts w:ascii="Rubik" w:hAnsi="Rubik" w:cs="Rubik"/>
          <w:color w:val="253B61"/>
        </w:rPr>
        <w:t>If received in writing, these must be forwarded to the</w:t>
      </w:r>
      <w:r w:rsidR="00E03667">
        <w:rPr>
          <w:rFonts w:ascii="Rubik" w:hAnsi="Rubik" w:cs="Rubik"/>
          <w:color w:val="253B61"/>
        </w:rPr>
        <w:t xml:space="preserve"> IG Lead</w:t>
      </w:r>
      <w:r w:rsidRPr="00171158">
        <w:rPr>
          <w:rFonts w:ascii="Rubik" w:hAnsi="Rubik" w:cs="Rubik"/>
          <w:color w:val="253B61"/>
        </w:rPr>
        <w:t xml:space="preserve"> immediately. There is a 20-working day timeframe to respond, and this is calculated from the date the request was received by the organisation. </w:t>
      </w:r>
    </w:p>
    <w:p w14:paraId="59333DB0" w14:textId="3E02C861" w:rsidR="00AA1324" w:rsidRPr="00171158" w:rsidRDefault="00AA1324" w:rsidP="1DBFBDCC">
      <w:pPr>
        <w:spacing w:after="120" w:afterAutospacing="0"/>
        <w:rPr>
          <w:rFonts w:ascii="Rubik" w:hAnsi="Rubik" w:cs="Rubik"/>
          <w:color w:val="253B61"/>
        </w:rPr>
      </w:pPr>
      <w:r w:rsidRPr="00171158">
        <w:rPr>
          <w:rFonts w:ascii="Rubik" w:hAnsi="Rubik" w:cs="Rubik"/>
          <w:color w:val="253B61"/>
        </w:rPr>
        <w:t>If an EIR request is made verbally, the staff member receiving the request should transcribe, gather as much information as possible, and forward to the</w:t>
      </w:r>
      <w:r w:rsidR="00E03667">
        <w:rPr>
          <w:rFonts w:ascii="Rubik" w:hAnsi="Rubik" w:cs="Rubik"/>
          <w:color w:val="253B61"/>
        </w:rPr>
        <w:t xml:space="preserve"> IG Lead</w:t>
      </w:r>
      <w:r w:rsidRPr="00171158">
        <w:rPr>
          <w:rFonts w:ascii="Rubik" w:hAnsi="Rubik" w:cs="Rubik"/>
          <w:color w:val="253B61"/>
        </w:rPr>
        <w:t xml:space="preserve"> immediately.</w:t>
      </w:r>
    </w:p>
    <w:p w14:paraId="1DD25C7C" w14:textId="77777777" w:rsidR="00AA1324" w:rsidRPr="000F4028" w:rsidRDefault="00AA1324" w:rsidP="007C45DB">
      <w:pPr>
        <w:pStyle w:val="Heading2"/>
        <w:numPr>
          <w:ilvl w:val="0"/>
          <w:numId w:val="0"/>
        </w:numPr>
        <w:ind w:left="360"/>
        <w:rPr>
          <w:lang w:eastAsia="en-GB"/>
        </w:rPr>
      </w:pPr>
      <w:bookmarkStart w:id="16" w:name="_Toc224130464"/>
      <w:r w:rsidRPr="000F4028">
        <w:rPr>
          <w:lang w:eastAsia="en-GB"/>
        </w:rPr>
        <w:t>6.2.2 Acknowledging a Request</w:t>
      </w:r>
      <w:bookmarkEnd w:id="16"/>
    </w:p>
    <w:p w14:paraId="2A32C8D4" w14:textId="13FD6075" w:rsidR="00AA1324" w:rsidRPr="00171158" w:rsidRDefault="00AA1324" w:rsidP="1DBFBDCC">
      <w:pPr>
        <w:pStyle w:val="ListParagraph"/>
        <w:spacing w:after="120" w:afterAutospacing="0"/>
        <w:ind w:left="0"/>
        <w:rPr>
          <w:rFonts w:ascii="Rubik" w:hAnsi="Rubik" w:cs="Rubik"/>
          <w:color w:val="253B61"/>
        </w:rPr>
      </w:pPr>
      <w:r w:rsidRPr="00171158">
        <w:rPr>
          <w:rFonts w:ascii="Rubik" w:hAnsi="Rubik" w:cs="Rubik"/>
          <w:color w:val="253B61"/>
        </w:rPr>
        <w:t>On receipt of the request the</w:t>
      </w:r>
      <w:r w:rsidR="00E03667">
        <w:rPr>
          <w:rFonts w:ascii="Rubik" w:hAnsi="Rubik" w:cs="Rubik"/>
          <w:color w:val="253B61"/>
        </w:rPr>
        <w:t xml:space="preserve"> IG Lead</w:t>
      </w:r>
      <w:r w:rsidRPr="00171158">
        <w:rPr>
          <w:rFonts w:ascii="Rubik" w:hAnsi="Rubik" w:cs="Rubik"/>
          <w:color w:val="253B61"/>
        </w:rPr>
        <w:t xml:space="preserve"> must log the request on the organisation’s request register including full details of the request including the date of receipt, applicant name and contact details, brief description of the request and deadline response date.</w:t>
      </w:r>
    </w:p>
    <w:p w14:paraId="794F474D" w14:textId="4D0B455B" w:rsidR="00AA1324" w:rsidRPr="00171158" w:rsidRDefault="00AA1324" w:rsidP="1DBFBDCC">
      <w:pPr>
        <w:spacing w:after="120" w:afterAutospacing="0"/>
        <w:jc w:val="both"/>
        <w:rPr>
          <w:rFonts w:ascii="Rubik" w:hAnsi="Rubik" w:cs="Rubik"/>
          <w:color w:val="253B61"/>
        </w:rPr>
      </w:pPr>
      <w:r w:rsidRPr="00171158">
        <w:rPr>
          <w:rFonts w:ascii="Rubik" w:hAnsi="Rubik" w:cs="Rubik"/>
          <w:color w:val="253B61"/>
        </w:rPr>
        <w:t>Th</w:t>
      </w:r>
      <w:r w:rsidR="00E03667">
        <w:rPr>
          <w:rFonts w:ascii="Rubik" w:hAnsi="Rubik" w:cs="Rubik"/>
          <w:color w:val="253B61"/>
        </w:rPr>
        <w:t>e IG Lead</w:t>
      </w:r>
      <w:r w:rsidRPr="00171158">
        <w:rPr>
          <w:rFonts w:ascii="Rubik" w:hAnsi="Rubik" w:cs="Rubik"/>
          <w:color w:val="253B61"/>
        </w:rPr>
        <w:t xml:space="preserve"> will issue an acknowledgement to the requester within 3 working days of receipt of the request. This will inform the requester that the request has been received and is being processed by the organisation, or after having checked the organisation’s publication scheme and website, where the information can be found if it is already in the public domain. This will be recorded in the request register, and if appropriate the request may be closed at this stage.</w:t>
      </w:r>
    </w:p>
    <w:p w14:paraId="716F5074" w14:textId="77777777" w:rsidR="00AA1324" w:rsidRPr="000F4028" w:rsidRDefault="00AA1324" w:rsidP="007C45DB">
      <w:pPr>
        <w:pStyle w:val="Heading2"/>
        <w:numPr>
          <w:ilvl w:val="0"/>
          <w:numId w:val="0"/>
        </w:numPr>
        <w:ind w:left="360"/>
        <w:rPr>
          <w:lang w:eastAsia="en-GB"/>
        </w:rPr>
      </w:pPr>
      <w:bookmarkStart w:id="17" w:name="_Toc224130465"/>
      <w:r w:rsidRPr="000F4028">
        <w:rPr>
          <w:lang w:eastAsia="en-GB"/>
        </w:rPr>
        <w:t>6.2.3 Clarification</w:t>
      </w:r>
      <w:bookmarkEnd w:id="17"/>
    </w:p>
    <w:p w14:paraId="566E592A" w14:textId="77777777" w:rsidR="00AA1324" w:rsidRPr="00171158" w:rsidRDefault="00AA1324" w:rsidP="1DBFBDCC">
      <w:pPr>
        <w:spacing w:after="120" w:afterAutospacing="0"/>
        <w:jc w:val="both"/>
        <w:rPr>
          <w:rFonts w:ascii="Rubik" w:hAnsi="Rubik" w:cs="Rubik"/>
          <w:color w:val="253B61"/>
        </w:rPr>
      </w:pPr>
      <w:r w:rsidRPr="00171158">
        <w:rPr>
          <w:rFonts w:ascii="Rubik" w:hAnsi="Rubik" w:cs="Rubik"/>
          <w:color w:val="253B61"/>
        </w:rPr>
        <w:t>The requestor does not have to state the reason for their request.  However</w:t>
      </w:r>
      <w:r w:rsidRPr="00171158">
        <w:rPr>
          <w:rFonts w:ascii="Rubik" w:hAnsi="Rubik" w:cs="Rubik"/>
          <w:color w:val="253B61"/>
          <w:sz w:val="24"/>
          <w:szCs w:val="24"/>
        </w:rPr>
        <w:t xml:space="preserve">, </w:t>
      </w:r>
      <w:r w:rsidRPr="00171158">
        <w:rPr>
          <w:rFonts w:ascii="Rubik" w:hAnsi="Rubik" w:cs="Rubik"/>
          <w:color w:val="253B61"/>
        </w:rPr>
        <w:t>if the request is not precise or clear enough to be processed, the initial acknowledgement to the requester will ask for clarification of the request and/or for additional information to be provided. The 20-working day timeframe will be put on hold until further clarification/information is received by the organisation.</w:t>
      </w:r>
    </w:p>
    <w:p w14:paraId="625F972B" w14:textId="77777777" w:rsidR="00AA1324" w:rsidRPr="00171158" w:rsidRDefault="00AA1324" w:rsidP="007C45DB">
      <w:pPr>
        <w:pStyle w:val="Heading2"/>
        <w:numPr>
          <w:ilvl w:val="0"/>
          <w:numId w:val="0"/>
        </w:numPr>
        <w:ind w:left="360"/>
        <w:rPr>
          <w:lang w:eastAsia="en-GB"/>
        </w:rPr>
      </w:pPr>
      <w:bookmarkStart w:id="18" w:name="_Toc224130466"/>
      <w:r w:rsidRPr="00171158">
        <w:rPr>
          <w:lang w:eastAsia="en-GB"/>
        </w:rPr>
        <w:t>6.3 Refusing a Request</w:t>
      </w:r>
      <w:bookmarkEnd w:id="18"/>
    </w:p>
    <w:p w14:paraId="08373094" w14:textId="77777777" w:rsidR="00AA1324" w:rsidRPr="000F4028" w:rsidRDefault="00AA1324" w:rsidP="007C45DB">
      <w:pPr>
        <w:pStyle w:val="Heading2"/>
        <w:numPr>
          <w:ilvl w:val="0"/>
          <w:numId w:val="0"/>
        </w:numPr>
        <w:rPr>
          <w:shd w:val="clear" w:color="auto" w:fill="292827"/>
        </w:rPr>
      </w:pPr>
      <w:bookmarkStart w:id="19" w:name="_Toc224130467"/>
      <w:r w:rsidRPr="000F4028">
        <w:rPr>
          <w:lang w:eastAsia="en-GB"/>
        </w:rPr>
        <w:t xml:space="preserve">6.3.1 </w:t>
      </w:r>
      <w:r w:rsidRPr="000F4028">
        <w:t>Vexatious or Repeated Requests</w:t>
      </w:r>
      <w:bookmarkEnd w:id="19"/>
    </w:p>
    <w:p w14:paraId="484F5D14" w14:textId="2AB37759"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 xml:space="preserve">The </w:t>
      </w:r>
      <w:r w:rsidRPr="00171158">
        <w:rPr>
          <w:rFonts w:ascii="Rubik" w:hAnsi="Rubik" w:cs="Rubik"/>
          <w:color w:val="253B61"/>
        </w:rPr>
        <w:t>organisation</w:t>
      </w:r>
      <w:r w:rsidRPr="00171158">
        <w:rPr>
          <w:rFonts w:ascii="Rubik" w:eastAsia="Times New Roman" w:hAnsi="Rubik" w:cs="Rubik"/>
          <w:color w:val="253B61"/>
          <w:lang w:eastAsia="en-GB"/>
        </w:rPr>
        <w:t xml:space="preserve"> does not have to comply with requests that are ‘vexatious’ or repetitive in nature. The</w:t>
      </w:r>
      <w:r w:rsidR="00E03667">
        <w:rPr>
          <w:rFonts w:ascii="Rubik" w:eastAsia="Times New Roman" w:hAnsi="Rubik" w:cs="Rubik"/>
          <w:color w:val="253B61"/>
          <w:lang w:eastAsia="en-GB"/>
        </w:rPr>
        <w:t xml:space="preserve"> IG Lead</w:t>
      </w:r>
      <w:r w:rsidRPr="00171158">
        <w:rPr>
          <w:rFonts w:ascii="Rubik" w:hAnsi="Rubik" w:cs="Rubik"/>
          <w:color w:val="253B61"/>
        </w:rPr>
        <w:t xml:space="preserve"> will </w:t>
      </w:r>
      <w:r w:rsidRPr="00171158">
        <w:rPr>
          <w:rFonts w:ascii="Rubik" w:eastAsia="Times New Roman" w:hAnsi="Rubik" w:cs="Rubik"/>
          <w:color w:val="253B61"/>
          <w:lang w:eastAsia="en-GB"/>
        </w:rPr>
        <w:t>consider:</w:t>
      </w:r>
    </w:p>
    <w:p w14:paraId="27B2B4C3" w14:textId="77777777" w:rsidR="00AA1324" w:rsidRPr="00171158" w:rsidRDefault="00AA1324" w:rsidP="1DBFBDCC">
      <w:pPr>
        <w:pStyle w:val="ListParagraph"/>
        <w:numPr>
          <w:ilvl w:val="0"/>
          <w:numId w:val="21"/>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Can the request fairly be seen as obsessive?</w:t>
      </w:r>
    </w:p>
    <w:p w14:paraId="0DCD7748" w14:textId="77777777" w:rsidR="00AA1324" w:rsidRPr="00171158" w:rsidRDefault="00AA1324" w:rsidP="1DBFBDCC">
      <w:pPr>
        <w:pStyle w:val="ListParagraph"/>
        <w:numPr>
          <w:ilvl w:val="0"/>
          <w:numId w:val="21"/>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 xml:space="preserve">Is the request harassing the </w:t>
      </w:r>
      <w:r w:rsidRPr="00171158">
        <w:rPr>
          <w:rFonts w:ascii="Rubik" w:hAnsi="Rubik" w:cs="Rubik"/>
          <w:color w:val="253B61"/>
        </w:rPr>
        <w:t>organisation</w:t>
      </w:r>
      <w:r w:rsidRPr="00171158">
        <w:rPr>
          <w:rFonts w:ascii="Rubik" w:eastAsia="Times New Roman" w:hAnsi="Rubik" w:cs="Rubik"/>
          <w:color w:val="253B61"/>
          <w:lang w:eastAsia="en-GB"/>
        </w:rPr>
        <w:t>, or causing distress to its employees?</w:t>
      </w:r>
    </w:p>
    <w:p w14:paraId="1E65C1DA" w14:textId="77777777" w:rsidR="00AA1324" w:rsidRPr="00171158" w:rsidRDefault="00AA1324" w:rsidP="1DBFBDCC">
      <w:pPr>
        <w:pStyle w:val="ListParagraph"/>
        <w:numPr>
          <w:ilvl w:val="0"/>
          <w:numId w:val="21"/>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Would complying with the request impose a significant burden of expense/distraction?</w:t>
      </w:r>
    </w:p>
    <w:p w14:paraId="40CA809E" w14:textId="77777777" w:rsidR="00AA1324" w:rsidRPr="00171158" w:rsidRDefault="00AA1324" w:rsidP="1DBFBDCC">
      <w:pPr>
        <w:pStyle w:val="ListParagraph"/>
        <w:numPr>
          <w:ilvl w:val="0"/>
          <w:numId w:val="21"/>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Is the request designed to cause disruption or annoyance?</w:t>
      </w:r>
    </w:p>
    <w:p w14:paraId="33B4FE9F" w14:textId="77777777" w:rsidR="00AA1324" w:rsidRPr="00171158" w:rsidRDefault="00AA1324" w:rsidP="1DBFBDCC">
      <w:pPr>
        <w:pStyle w:val="ListParagraph"/>
        <w:numPr>
          <w:ilvl w:val="0"/>
          <w:numId w:val="21"/>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Does the request lack any serious purpose or value?</w:t>
      </w:r>
    </w:p>
    <w:p w14:paraId="4198EFB4" w14:textId="777777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 xml:space="preserve">If the request is considered vexatious, or repeated, the </w:t>
      </w:r>
      <w:r w:rsidRPr="00171158">
        <w:rPr>
          <w:rFonts w:ascii="Rubik" w:hAnsi="Rubik" w:cs="Rubik"/>
          <w:color w:val="253B61"/>
        </w:rPr>
        <w:t>organisation</w:t>
      </w:r>
      <w:r w:rsidRPr="00171158">
        <w:rPr>
          <w:rFonts w:ascii="Rubik" w:eastAsia="Times New Roman" w:hAnsi="Rubik" w:cs="Rubik"/>
          <w:color w:val="253B61"/>
          <w:lang w:eastAsia="en-GB"/>
        </w:rPr>
        <w:t xml:space="preserve"> does not have to provide any information or confirm or deny whether it holds it. However, a refusal notice must be issued to the applicant.</w:t>
      </w:r>
    </w:p>
    <w:p w14:paraId="2330B358" w14:textId="039BB0D2" w:rsidR="00AA1324" w:rsidRPr="00171158" w:rsidRDefault="00AA1324" w:rsidP="1DBFBDCC">
      <w:pPr>
        <w:spacing w:after="120" w:afterAutospacing="0"/>
        <w:rPr>
          <w:rFonts w:ascii="Rubik" w:hAnsi="Rubik" w:cs="Rubik"/>
          <w:color w:val="253B61"/>
        </w:rPr>
      </w:pPr>
      <w:r w:rsidRPr="00171158">
        <w:rPr>
          <w:rFonts w:ascii="Rubik" w:eastAsia="Times New Roman" w:hAnsi="Rubik" w:cs="Rubik"/>
          <w:color w:val="253B61"/>
          <w:lang w:eastAsia="en-GB"/>
        </w:rPr>
        <w:t xml:space="preserve">Where the </w:t>
      </w:r>
      <w:r w:rsidRPr="00171158">
        <w:rPr>
          <w:rFonts w:ascii="Rubik" w:hAnsi="Rubik" w:cs="Rubik"/>
          <w:color w:val="253B61"/>
        </w:rPr>
        <w:t>organisation</w:t>
      </w:r>
      <w:r w:rsidRPr="00171158">
        <w:rPr>
          <w:rFonts w:ascii="Rubik" w:eastAsia="Times New Roman" w:hAnsi="Rubik" w:cs="Rubik"/>
          <w:color w:val="253B61"/>
          <w:lang w:eastAsia="en-GB"/>
        </w:rPr>
        <w:t xml:space="preserve"> is considering the refusal of a request on the grounds of it being vexatious, the</w:t>
      </w:r>
      <w:r w:rsidR="00E03667">
        <w:rPr>
          <w:rFonts w:ascii="Rubik" w:eastAsia="Times New Roman" w:hAnsi="Rubik" w:cs="Rubik"/>
          <w:color w:val="253B61"/>
          <w:lang w:eastAsia="en-GB"/>
        </w:rPr>
        <w:t xml:space="preserve"> IG Lead</w:t>
      </w:r>
      <w:r w:rsidRPr="00171158">
        <w:rPr>
          <w:rFonts w:ascii="Rubik" w:hAnsi="Rubik" w:cs="Rubik"/>
          <w:color w:val="253B61"/>
        </w:rPr>
        <w:t xml:space="preserve"> will contact the DPO Support Service for advice prior to issuing the refusal. </w:t>
      </w:r>
    </w:p>
    <w:p w14:paraId="1E5D007A" w14:textId="77777777" w:rsidR="00AA1324" w:rsidRPr="00171158" w:rsidRDefault="00AA1324" w:rsidP="007C45DB">
      <w:pPr>
        <w:pStyle w:val="Heading2"/>
        <w:numPr>
          <w:ilvl w:val="0"/>
          <w:numId w:val="0"/>
        </w:numPr>
        <w:ind w:left="360"/>
        <w:rPr>
          <w:lang w:eastAsia="en-GB"/>
        </w:rPr>
      </w:pPr>
      <w:bookmarkStart w:id="20" w:name="_Toc224130468"/>
      <w:r w:rsidRPr="00171158">
        <w:rPr>
          <w:lang w:eastAsia="en-GB"/>
        </w:rPr>
        <w:t>6.4 Compiling a Response</w:t>
      </w:r>
      <w:bookmarkEnd w:id="20"/>
    </w:p>
    <w:p w14:paraId="70E80310" w14:textId="6A69BADC" w:rsidR="00AA1324" w:rsidRPr="00171158" w:rsidRDefault="00AA1324" w:rsidP="1DBFBDCC">
      <w:pPr>
        <w:pStyle w:val="NormalWeb"/>
        <w:spacing w:after="120" w:afterAutospacing="0"/>
        <w:rPr>
          <w:rFonts w:ascii="Rubik" w:hAnsi="Rubik" w:cs="Rubik"/>
          <w:color w:val="253B61"/>
          <w:sz w:val="18"/>
          <w:szCs w:val="18"/>
        </w:rPr>
      </w:pPr>
      <w:r w:rsidRPr="00171158">
        <w:rPr>
          <w:rFonts w:ascii="Rubik" w:hAnsi="Rubik" w:cs="Rubik"/>
          <w:color w:val="253B61"/>
          <w:sz w:val="22"/>
          <w:szCs w:val="22"/>
        </w:rPr>
        <w:t>The</w:t>
      </w:r>
      <w:r w:rsidR="00E03667">
        <w:rPr>
          <w:rFonts w:ascii="Rubik" w:hAnsi="Rubik" w:cs="Rubik"/>
          <w:color w:val="253B61"/>
          <w:sz w:val="22"/>
          <w:szCs w:val="22"/>
        </w:rPr>
        <w:t xml:space="preserve"> IG Lead</w:t>
      </w:r>
      <w:r w:rsidRPr="00171158">
        <w:rPr>
          <w:rFonts w:ascii="Rubik" w:hAnsi="Rubik" w:cs="Rubik"/>
          <w:color w:val="253B61"/>
          <w:sz w:val="22"/>
          <w:szCs w:val="22"/>
        </w:rPr>
        <w:t xml:space="preserve"> has responsibility for compiling responses to requests made under the FOI Act and EIR. </w:t>
      </w:r>
    </w:p>
    <w:p w14:paraId="0FCA663D" w14:textId="77777777" w:rsidR="00AA1324" w:rsidRPr="00171158" w:rsidRDefault="00AA1324" w:rsidP="1DBFBDCC">
      <w:pPr>
        <w:pStyle w:val="NormalWeb"/>
        <w:spacing w:after="120" w:afterAutospacing="0"/>
        <w:rPr>
          <w:rFonts w:ascii="Rubik" w:hAnsi="Rubik" w:cs="Rubik"/>
          <w:color w:val="253B61"/>
          <w:sz w:val="22"/>
          <w:szCs w:val="22"/>
        </w:rPr>
      </w:pPr>
      <w:r w:rsidRPr="00171158">
        <w:rPr>
          <w:rFonts w:ascii="Rubik" w:hAnsi="Rubik" w:cs="Rubik"/>
          <w:color w:val="253B61"/>
          <w:sz w:val="22"/>
          <w:szCs w:val="22"/>
        </w:rPr>
        <w:lastRenderedPageBreak/>
        <w:t xml:space="preserve"> Applicants have two distinct rights under the FOI Act:</w:t>
      </w:r>
    </w:p>
    <w:p w14:paraId="62C0FB83" w14:textId="017C9AFB" w:rsidR="00AA1324" w:rsidRPr="00171158" w:rsidRDefault="00AA1324" w:rsidP="1DBFBDCC">
      <w:pPr>
        <w:pStyle w:val="ListParagraph"/>
        <w:numPr>
          <w:ilvl w:val="0"/>
          <w:numId w:val="36"/>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The right to know if the Trust holds the information requested (the duty to confirm or deny), and</w:t>
      </w:r>
    </w:p>
    <w:p w14:paraId="207DCA20" w14:textId="55BFE68D" w:rsidR="00AA1324" w:rsidRPr="00171158" w:rsidRDefault="00AA1324" w:rsidP="1DBFBDCC">
      <w:pPr>
        <w:pStyle w:val="ListParagraph"/>
        <w:numPr>
          <w:ilvl w:val="0"/>
          <w:numId w:val="36"/>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The right to be provided with a copy of the requested information (the duty to communicate).</w:t>
      </w:r>
    </w:p>
    <w:p w14:paraId="14BFF8EE"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Responses are to address both rights where appropriate, for example where the information is known to be held but cannot be provided due to the excessive costs involved.</w:t>
      </w:r>
    </w:p>
    <w:p w14:paraId="23BD8AFE" w14:textId="1856CC6A" w:rsidR="00AA1324" w:rsidRPr="00171158" w:rsidRDefault="00AA1324" w:rsidP="1DBFBDCC">
      <w:pPr>
        <w:spacing w:after="120" w:afterAutospacing="0"/>
        <w:rPr>
          <w:rFonts w:ascii="Rubik" w:hAnsi="Rubik" w:cs="Rubik"/>
          <w:color w:val="253B61"/>
        </w:rPr>
      </w:pPr>
      <w:r w:rsidRPr="00171158">
        <w:rPr>
          <w:rFonts w:ascii="Rubik" w:hAnsi="Rubik" w:cs="Rubik"/>
          <w:color w:val="253B61"/>
        </w:rPr>
        <w:t>Upon receipt of a request, the</w:t>
      </w:r>
      <w:r w:rsidR="00E03667">
        <w:rPr>
          <w:rFonts w:ascii="Rubik" w:hAnsi="Rubik" w:cs="Rubik"/>
          <w:color w:val="253B61"/>
        </w:rPr>
        <w:t xml:space="preserve"> IG Lead</w:t>
      </w:r>
      <w:r w:rsidRPr="00171158">
        <w:rPr>
          <w:rFonts w:ascii="Rubik" w:hAnsi="Rubik" w:cs="Rubik"/>
          <w:color w:val="253B61"/>
        </w:rPr>
        <w:t xml:space="preserve"> will determine the initial feasibility of responding, and in particular:</w:t>
      </w:r>
    </w:p>
    <w:p w14:paraId="398A0585" w14:textId="58ABCCED" w:rsidR="00AA1324" w:rsidRPr="00171158" w:rsidRDefault="00AA1324" w:rsidP="1DBFBDCC">
      <w:pPr>
        <w:pStyle w:val="ListParagraph"/>
        <w:numPr>
          <w:ilvl w:val="0"/>
          <w:numId w:val="41"/>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 xml:space="preserve">Whether time and effort to compile the response can be estimated from the request and if this is likely to </w:t>
      </w:r>
      <w:r w:rsidRPr="00E03667">
        <w:rPr>
          <w:rFonts w:ascii="Rubik" w:eastAsia="Times New Roman" w:hAnsi="Rubik" w:cs="Rubik"/>
          <w:color w:val="253B61"/>
          <w:lang w:eastAsia="en-GB"/>
        </w:rPr>
        <w:t>exceed the cost limits</w:t>
      </w:r>
      <w:r w:rsidRPr="00171158">
        <w:rPr>
          <w:rFonts w:ascii="Rubik" w:eastAsia="Times New Roman" w:hAnsi="Rubik" w:cs="Rubik"/>
          <w:color w:val="253B61"/>
          <w:lang w:eastAsia="en-GB"/>
        </w:rPr>
        <w:t xml:space="preserve"> set in fee regulations (</w:t>
      </w:r>
      <w:hyperlink r:id="rId14">
        <w:r w:rsidRPr="00171158">
          <w:rPr>
            <w:rStyle w:val="Hyperlink"/>
            <w:rFonts w:ascii="Rubik" w:hAnsi="Rubik" w:cs="Rubik"/>
            <w:color w:val="253B61"/>
          </w:rPr>
          <w:t>The Freedom of Information and Data Protection (Appropriate Limit and Fees) Regulations 2004 (legislation.gov.uk)</w:t>
        </w:r>
      </w:hyperlink>
      <w:r w:rsidRPr="00171158">
        <w:rPr>
          <w:rFonts w:ascii="Rubik" w:eastAsia="Times New Roman" w:hAnsi="Rubik" w:cs="Rubik"/>
          <w:color w:val="253B61"/>
          <w:lang w:eastAsia="en-GB"/>
        </w:rPr>
        <w:t>, and</w:t>
      </w:r>
    </w:p>
    <w:p w14:paraId="7F029196" w14:textId="089C5A53" w:rsidR="00AA1324" w:rsidRPr="00171158" w:rsidRDefault="00AA1324" w:rsidP="1DBFBDCC">
      <w:pPr>
        <w:pStyle w:val="ListParagraph"/>
        <w:numPr>
          <w:ilvl w:val="0"/>
          <w:numId w:val="41"/>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Whether any applicable exemptions are clear at the outset (see Appendix A).</w:t>
      </w:r>
    </w:p>
    <w:p w14:paraId="20981244" w14:textId="77777777" w:rsidR="00AA1324" w:rsidRPr="00171158" w:rsidRDefault="00AA1324" w:rsidP="1DBFBDCC">
      <w:pPr>
        <w:spacing w:after="120" w:afterAutospacing="0"/>
        <w:rPr>
          <w:rFonts w:ascii="Rubik" w:hAnsi="Rubik" w:cs="Rubik"/>
          <w:color w:val="253B61"/>
        </w:rPr>
      </w:pPr>
      <w:r w:rsidRPr="00171158">
        <w:rPr>
          <w:rFonts w:ascii="Rubik" w:eastAsia="Times New Roman" w:hAnsi="Rubik" w:cs="Rubik"/>
          <w:color w:val="253B61"/>
          <w:lang w:eastAsia="en-GB"/>
        </w:rPr>
        <w:t xml:space="preserve">Where requests are straightforward, </w:t>
      </w:r>
      <w:r w:rsidRPr="00171158">
        <w:rPr>
          <w:rFonts w:ascii="Rubik" w:hAnsi="Rubik" w:cs="Rubik"/>
          <w:color w:val="253B61"/>
        </w:rPr>
        <w:t>the designated individual(s) will start to prepare a response as soon as possible. This may involve a search of electronic and paper records, identifying key employees so that they can search for relevant emails and notes they may have made, and/or identifying where the release of any of the information is a cause for concern, so that the possible application of relevant exemptions may be considered.</w:t>
      </w:r>
    </w:p>
    <w:p w14:paraId="05018E67"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Where a request is particularly complex, the organisation may seek advice from the DPO Support Service and request a review of the response before it is sent to the applicant.</w:t>
      </w:r>
    </w:p>
    <w:p w14:paraId="27C0B4C6" w14:textId="77777777" w:rsidR="00AA1324" w:rsidRPr="00171158" w:rsidRDefault="00AA1324" w:rsidP="007C45DB">
      <w:pPr>
        <w:pStyle w:val="Heading2"/>
        <w:numPr>
          <w:ilvl w:val="0"/>
          <w:numId w:val="0"/>
        </w:numPr>
        <w:ind w:left="360"/>
        <w:rPr>
          <w:lang w:eastAsia="en-GB"/>
        </w:rPr>
      </w:pPr>
      <w:bookmarkStart w:id="21" w:name="_Toc224130469"/>
      <w:r w:rsidRPr="00171158">
        <w:rPr>
          <w:lang w:eastAsia="en-GB"/>
        </w:rPr>
        <w:t>6.4.1 Providing Advice and Assistance</w:t>
      </w:r>
      <w:bookmarkEnd w:id="21"/>
    </w:p>
    <w:p w14:paraId="26E3E1FA" w14:textId="77777777" w:rsidR="00AA1324" w:rsidRPr="00171158" w:rsidRDefault="00AA1324" w:rsidP="1DBFBDCC">
      <w:pPr>
        <w:pStyle w:val="ListParagraph"/>
        <w:spacing w:after="120" w:afterAutospacing="0"/>
        <w:ind w:left="0"/>
        <w:rPr>
          <w:rFonts w:ascii="Rubik" w:hAnsi="Rubik" w:cs="Rubik"/>
          <w:color w:val="253B61"/>
        </w:rPr>
      </w:pPr>
      <w:r w:rsidRPr="00171158">
        <w:rPr>
          <w:rFonts w:ascii="Rubik" w:eastAsia="Times New Roman" w:hAnsi="Rubik" w:cs="Rubik"/>
          <w:color w:val="253B61"/>
          <w:lang w:eastAsia="en-GB"/>
        </w:rPr>
        <w:t xml:space="preserve">The </w:t>
      </w:r>
      <w:r w:rsidRPr="00171158">
        <w:rPr>
          <w:rFonts w:ascii="Rubik" w:hAnsi="Rubik" w:cs="Rubik"/>
          <w:color w:val="253B61"/>
        </w:rPr>
        <w:t>organisation</w:t>
      </w:r>
      <w:r w:rsidRPr="00171158">
        <w:rPr>
          <w:rFonts w:ascii="Rubik" w:eastAsia="Times New Roman" w:hAnsi="Rubik" w:cs="Rubik"/>
          <w:color w:val="253B61"/>
          <w:lang w:eastAsia="en-GB"/>
        </w:rPr>
        <w:t xml:space="preserve"> must provide advice ‘as far as would be reasonable to do so’, to applicants and prospective applicants. This will usually be advice about the type of information that the </w:t>
      </w:r>
      <w:r w:rsidRPr="00171158">
        <w:rPr>
          <w:rFonts w:ascii="Rubik" w:hAnsi="Rubik" w:cs="Rubik"/>
          <w:color w:val="253B61"/>
        </w:rPr>
        <w:t>organisation</w:t>
      </w:r>
      <w:r w:rsidRPr="00171158">
        <w:rPr>
          <w:rFonts w:ascii="Rubik" w:eastAsia="Times New Roman" w:hAnsi="Rubik" w:cs="Rubik"/>
          <w:color w:val="253B61"/>
          <w:lang w:eastAsia="en-GB"/>
        </w:rPr>
        <w:t xml:space="preserve"> holds and how to access it or if the information is not held by the </w:t>
      </w:r>
      <w:r w:rsidRPr="00171158">
        <w:rPr>
          <w:rFonts w:ascii="Rubik" w:hAnsi="Rubik" w:cs="Rubik"/>
          <w:color w:val="253B61"/>
        </w:rPr>
        <w:t>organisation</w:t>
      </w:r>
      <w:r w:rsidRPr="00171158">
        <w:rPr>
          <w:rFonts w:ascii="Rubik" w:eastAsia="Times New Roman" w:hAnsi="Rubik" w:cs="Rubik"/>
          <w:color w:val="253B61"/>
          <w:lang w:eastAsia="en-GB"/>
        </w:rPr>
        <w:t xml:space="preserve">, but it is held by another public authority, such as the Health Board, how this information can be requested. </w:t>
      </w:r>
    </w:p>
    <w:p w14:paraId="0F6109B1" w14:textId="61EB8864" w:rsidR="00AA1324" w:rsidRPr="00171158" w:rsidRDefault="00AA1324" w:rsidP="007C45DB">
      <w:pPr>
        <w:pStyle w:val="Heading2"/>
        <w:numPr>
          <w:ilvl w:val="1"/>
          <w:numId w:val="43"/>
        </w:numPr>
        <w:rPr>
          <w:lang w:eastAsia="en-GB"/>
        </w:rPr>
      </w:pPr>
      <w:bookmarkStart w:id="22" w:name="_Toc224130470"/>
      <w:r w:rsidRPr="00171158">
        <w:rPr>
          <w:lang w:eastAsia="en-GB"/>
        </w:rPr>
        <w:t>Calculating the cost limit</w:t>
      </w:r>
      <w:bookmarkEnd w:id="22"/>
    </w:p>
    <w:p w14:paraId="18BD84EC"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If the estimated costs of responding to a request would exceed the appropriate limit of £450, then the organisation is not obliged to supply the requested information. It may still be necessary to state whether the information is held by the organisation (unless this would, by itself, exceed the appropriate limit). </w:t>
      </w:r>
    </w:p>
    <w:p w14:paraId="39A11F5C"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Estimated costs can include staff time spent in determining if the information is held, and in locating, retrieving, and extracting the information. The costs of redacting any exempt information contained within the records/documents cannot be considered or the time taken to consider if a refusal, exemption, or exception applies or applying the public interest test. </w:t>
      </w:r>
    </w:p>
    <w:p w14:paraId="753CED27"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The cost limit equates to 18 hours work calculated at cost of £25 per person, per hour, the rate outlined in the FOI Act. This figure should be used to calculate if the £450 limit for any request would be exceeded regardless of the pay rates of the staff involved.</w:t>
      </w:r>
    </w:p>
    <w:p w14:paraId="3D62DE1D" w14:textId="21627D64" w:rsidR="00AA1324" w:rsidRPr="00171158" w:rsidRDefault="00AA1324" w:rsidP="1DBFBDCC">
      <w:pPr>
        <w:spacing w:after="120" w:afterAutospacing="0"/>
        <w:rPr>
          <w:rFonts w:ascii="Rubik" w:hAnsi="Rubik" w:cs="Rubik"/>
          <w:color w:val="253B61"/>
        </w:rPr>
      </w:pPr>
      <w:r w:rsidRPr="00171158">
        <w:rPr>
          <w:rFonts w:ascii="Rubik" w:hAnsi="Rubik" w:cs="Rubik"/>
          <w:color w:val="253B61"/>
        </w:rPr>
        <w:t>Where the cost limit is being applied, the</w:t>
      </w:r>
      <w:r w:rsidR="00E03667">
        <w:rPr>
          <w:rFonts w:ascii="Rubik" w:hAnsi="Rubik" w:cs="Rubik"/>
          <w:color w:val="253B61"/>
        </w:rPr>
        <w:t xml:space="preserve"> IG Lead</w:t>
      </w:r>
      <w:r w:rsidRPr="00171158">
        <w:rPr>
          <w:rFonts w:ascii="Rubik" w:hAnsi="Rubik" w:cs="Rubik"/>
          <w:color w:val="253B61"/>
        </w:rPr>
        <w:t xml:space="preserve"> will outline this within the response, along with details of the actions required to comply with the request and the calculation of the cost limit. </w:t>
      </w:r>
    </w:p>
    <w:p w14:paraId="14EFDC93" w14:textId="037F9A26" w:rsidR="00AA1324" w:rsidRPr="00171158" w:rsidRDefault="00A737AE" w:rsidP="007C45DB">
      <w:pPr>
        <w:pStyle w:val="Heading2"/>
        <w:numPr>
          <w:ilvl w:val="1"/>
          <w:numId w:val="31"/>
        </w:numPr>
        <w:rPr>
          <w:lang w:eastAsia="en-GB"/>
        </w:rPr>
      </w:pPr>
      <w:r w:rsidRPr="00171158">
        <w:rPr>
          <w:lang w:eastAsia="en-GB"/>
        </w:rPr>
        <w:t xml:space="preserve"> </w:t>
      </w:r>
      <w:bookmarkStart w:id="23" w:name="_Toc224130471"/>
      <w:r w:rsidR="00AA1324" w:rsidRPr="00171158">
        <w:rPr>
          <w:lang w:eastAsia="en-GB"/>
        </w:rPr>
        <w:t>Consideration of Exemptions</w:t>
      </w:r>
      <w:bookmarkEnd w:id="23"/>
    </w:p>
    <w:p w14:paraId="50EDA54E" w14:textId="61AFEEA2"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lastRenderedPageBreak/>
        <w:t>If it is determined that an exemption applies to the requested information (see Appendix A), either in full or in part, then the response to the applicant should explain:</w:t>
      </w:r>
    </w:p>
    <w:p w14:paraId="47EB7A20" w14:textId="77777777" w:rsidR="00AA1324" w:rsidRPr="00171158" w:rsidRDefault="00AA1324" w:rsidP="1DBFBDCC">
      <w:pPr>
        <w:pStyle w:val="ListParagraph"/>
        <w:numPr>
          <w:ilvl w:val="0"/>
          <w:numId w:val="9"/>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 xml:space="preserve">the </w:t>
      </w:r>
      <w:proofErr w:type="gramStart"/>
      <w:r w:rsidRPr="00171158">
        <w:rPr>
          <w:rFonts w:ascii="Rubik" w:eastAsia="Times New Roman" w:hAnsi="Rubik" w:cs="Rubik"/>
          <w:color w:val="253B61"/>
          <w:lang w:eastAsia="en-GB"/>
        </w:rPr>
        <w:t>particular exemption</w:t>
      </w:r>
      <w:proofErr w:type="gramEnd"/>
      <w:r w:rsidRPr="00171158">
        <w:rPr>
          <w:rFonts w:ascii="Rubik" w:eastAsia="Times New Roman" w:hAnsi="Rubik" w:cs="Rubik"/>
          <w:color w:val="253B61"/>
          <w:lang w:eastAsia="en-GB"/>
        </w:rPr>
        <w:t xml:space="preserve"> applied,</w:t>
      </w:r>
    </w:p>
    <w:p w14:paraId="2FB900D5" w14:textId="77777777" w:rsidR="00AA1324" w:rsidRPr="00171158" w:rsidRDefault="00AA1324" w:rsidP="1DBFBDCC">
      <w:pPr>
        <w:pStyle w:val="ListParagraph"/>
        <w:numPr>
          <w:ilvl w:val="0"/>
          <w:numId w:val="9"/>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why the exemption applies, and</w:t>
      </w:r>
    </w:p>
    <w:p w14:paraId="6761B1BC" w14:textId="77777777" w:rsidR="00AA1324" w:rsidRPr="00171158" w:rsidRDefault="00AA1324" w:rsidP="1DBFBDCC">
      <w:pPr>
        <w:pStyle w:val="ListParagraph"/>
        <w:numPr>
          <w:ilvl w:val="0"/>
          <w:numId w:val="9"/>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whether there is a public interest in disclosing the information.</w:t>
      </w:r>
    </w:p>
    <w:p w14:paraId="29EC68A4" w14:textId="777777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 xml:space="preserve">There are two types of exemption: absolute and qualified. “Absolute” exemptions mean that the information can be withheld without needing to consider any public interest in disclosure. However, many exemptions </w:t>
      </w:r>
      <w:r w:rsidRPr="00171158">
        <w:rPr>
          <w:rFonts w:ascii="Rubik" w:hAnsi="Rubik" w:cs="Rubik"/>
          <w:color w:val="253B61"/>
        </w:rPr>
        <w:t>in the FOI Act are “qualified” exemptions, which means that the organisation must</w:t>
      </w:r>
      <w:r w:rsidRPr="00171158">
        <w:rPr>
          <w:rFonts w:ascii="Rubik" w:eastAsia="Times New Roman" w:hAnsi="Rubik" w:cs="Rubik"/>
          <w:color w:val="253B61"/>
          <w:lang w:eastAsia="en-GB"/>
        </w:rPr>
        <w:t xml:space="preserve"> consider whether the public interest favours withholding or disclosing the information, this is known as a public interest test.</w:t>
      </w:r>
    </w:p>
    <w:p w14:paraId="6D773245" w14:textId="3BD7626C" w:rsidR="00AA1324" w:rsidRPr="000F4028" w:rsidRDefault="00AA1324" w:rsidP="007C45DB">
      <w:pPr>
        <w:pStyle w:val="Heading2"/>
        <w:numPr>
          <w:ilvl w:val="0"/>
          <w:numId w:val="0"/>
        </w:numPr>
        <w:ind w:left="360"/>
        <w:rPr>
          <w:lang w:eastAsia="en-GB"/>
        </w:rPr>
      </w:pPr>
      <w:bookmarkStart w:id="24" w:name="_Toc224130472"/>
      <w:r w:rsidRPr="000F4028">
        <w:rPr>
          <w:lang w:eastAsia="en-GB"/>
        </w:rPr>
        <w:t xml:space="preserve">6.6.1 Applying the Public Interest Test and </w:t>
      </w:r>
      <w:r w:rsidR="0070567A" w:rsidRPr="000F4028">
        <w:rPr>
          <w:lang w:eastAsia="en-GB"/>
        </w:rPr>
        <w:t>T</w:t>
      </w:r>
      <w:r w:rsidRPr="000F4028">
        <w:rPr>
          <w:lang w:eastAsia="en-GB"/>
        </w:rPr>
        <w:t xml:space="preserve">ime </w:t>
      </w:r>
      <w:r w:rsidR="0070567A" w:rsidRPr="000F4028">
        <w:rPr>
          <w:lang w:eastAsia="en-GB"/>
        </w:rPr>
        <w:t>E</w:t>
      </w:r>
      <w:r w:rsidRPr="000F4028">
        <w:rPr>
          <w:lang w:eastAsia="en-GB"/>
        </w:rPr>
        <w:t>xtensions</w:t>
      </w:r>
      <w:bookmarkEnd w:id="24"/>
    </w:p>
    <w:p w14:paraId="10D060FA" w14:textId="1B255842" w:rsidR="00AA1324" w:rsidRPr="00171158" w:rsidRDefault="00AA1324" w:rsidP="1DBFBDCC">
      <w:pPr>
        <w:spacing w:after="120" w:afterAutospacing="0"/>
        <w:rPr>
          <w:rFonts w:ascii="Rubik" w:eastAsia="Times New Roman" w:hAnsi="Rubik" w:cs="Rubik"/>
          <w:color w:val="253B61"/>
          <w:sz w:val="20"/>
          <w:szCs w:val="20"/>
          <w:lang w:eastAsia="en-GB"/>
        </w:rPr>
      </w:pPr>
      <w:r w:rsidRPr="00171158">
        <w:rPr>
          <w:rFonts w:ascii="Rubik" w:hAnsi="Rubik" w:cs="Rubik"/>
          <w:color w:val="253B61"/>
          <w:shd w:val="clear" w:color="auto" w:fill="FFFFFF"/>
        </w:rPr>
        <w:t xml:space="preserve">If the exemption is qualified, </w:t>
      </w:r>
      <w:r w:rsidRPr="00171158">
        <w:rPr>
          <w:rFonts w:ascii="Rubik" w:hAnsi="Rubik" w:cs="Rubik"/>
          <w:color w:val="253B61"/>
        </w:rPr>
        <w:t xml:space="preserve">the </w:t>
      </w:r>
      <w:r w:rsidR="00E03667">
        <w:rPr>
          <w:rFonts w:ascii="Rubik" w:hAnsi="Rubik" w:cs="Rubik"/>
          <w:color w:val="253B61"/>
        </w:rPr>
        <w:t>IG Lead</w:t>
      </w:r>
      <w:r w:rsidRPr="00171158">
        <w:rPr>
          <w:rFonts w:ascii="Rubik" w:hAnsi="Rubik" w:cs="Rubik"/>
          <w:color w:val="253B61"/>
        </w:rPr>
        <w:t xml:space="preserve"> will </w:t>
      </w:r>
      <w:r w:rsidRPr="00171158">
        <w:rPr>
          <w:rFonts w:ascii="Rubik" w:hAnsi="Rubik" w:cs="Rubik"/>
          <w:color w:val="253B61"/>
          <w:shd w:val="clear" w:color="auto" w:fill="FFFFFF"/>
        </w:rPr>
        <w:t xml:space="preserve">weigh the public interest in maintaining the exemption against the public interest in disclosure. Where required, the </w:t>
      </w:r>
      <w:r w:rsidR="00E03667">
        <w:rPr>
          <w:rFonts w:ascii="Rubik" w:hAnsi="Rubik" w:cs="Rubik"/>
          <w:color w:val="253B61"/>
          <w:shd w:val="clear" w:color="auto" w:fill="FFFFFF"/>
        </w:rPr>
        <w:t>IG Lead</w:t>
      </w:r>
      <w:r w:rsidRPr="00171158">
        <w:rPr>
          <w:rFonts w:ascii="Rubik" w:hAnsi="Rubik" w:cs="Rubik"/>
          <w:color w:val="253B61"/>
        </w:rPr>
        <w:t xml:space="preserve"> will consult with the Senior Responsible Person and DPO Support Service. </w:t>
      </w:r>
    </w:p>
    <w:p w14:paraId="25251D7B" w14:textId="6A2C5054" w:rsidR="00AA1324" w:rsidRPr="00171158" w:rsidRDefault="00AA1324" w:rsidP="1DBFBDCC">
      <w:pPr>
        <w:spacing w:after="120" w:afterAutospacing="0"/>
        <w:rPr>
          <w:rFonts w:ascii="Rubik" w:hAnsi="Rubik" w:cs="Rubik"/>
          <w:color w:val="253B61"/>
        </w:rPr>
      </w:pPr>
      <w:r w:rsidRPr="00171158">
        <w:rPr>
          <w:rFonts w:ascii="Rubik" w:hAnsi="Rubik" w:cs="Rubik"/>
          <w:color w:val="253B61"/>
        </w:rPr>
        <w:t>Where the</w:t>
      </w:r>
      <w:r w:rsidR="00E03667">
        <w:rPr>
          <w:rFonts w:ascii="Rubik" w:hAnsi="Rubik" w:cs="Rubik"/>
          <w:color w:val="253B61"/>
        </w:rPr>
        <w:t xml:space="preserve"> IG Lead</w:t>
      </w:r>
      <w:r w:rsidRPr="00171158">
        <w:rPr>
          <w:rFonts w:ascii="Rubik" w:hAnsi="Rubik" w:cs="Rubik"/>
          <w:color w:val="253B61"/>
        </w:rPr>
        <w:t xml:space="preserve"> anticipates that the organisation:</w:t>
      </w:r>
    </w:p>
    <w:p w14:paraId="1BE8B62D" w14:textId="77777777" w:rsidR="00AA1324" w:rsidRPr="00171158" w:rsidRDefault="00AA1324" w:rsidP="1DBFBDCC">
      <w:pPr>
        <w:spacing w:before="0" w:beforeAutospacing="0" w:after="120" w:afterAutospacing="0"/>
        <w:ind w:left="720"/>
        <w:rPr>
          <w:rFonts w:ascii="Rubik" w:hAnsi="Rubik" w:cs="Rubik"/>
          <w:color w:val="253B61"/>
        </w:rPr>
      </w:pPr>
      <w:r w:rsidRPr="00171158">
        <w:rPr>
          <w:rFonts w:ascii="Rubik" w:eastAsia="Symbol" w:hAnsi="Rubik" w:cs="Rubik"/>
          <w:color w:val="253B61"/>
        </w:rPr>
        <w:t>·</w:t>
      </w:r>
      <w:r w:rsidRPr="00171158">
        <w:rPr>
          <w:rFonts w:ascii="Rubik" w:hAnsi="Rubik" w:cs="Rubik"/>
          <w:color w:val="253B61"/>
        </w:rPr>
        <w:t xml:space="preserve"> </w:t>
      </w:r>
      <w:proofErr w:type="gramStart"/>
      <w:r w:rsidRPr="00171158">
        <w:rPr>
          <w:rFonts w:ascii="Rubik" w:hAnsi="Rubik" w:cs="Rubik"/>
          <w:color w:val="253B61"/>
        </w:rPr>
        <w:t>requires</w:t>
      </w:r>
      <w:proofErr w:type="gramEnd"/>
      <w:r w:rsidRPr="00171158">
        <w:rPr>
          <w:rFonts w:ascii="Rubik" w:hAnsi="Rubik" w:cs="Rubik"/>
          <w:color w:val="253B61"/>
        </w:rPr>
        <w:t xml:space="preserve"> more time to determine </w:t>
      </w:r>
      <w:proofErr w:type="gramStart"/>
      <w:r w:rsidRPr="00171158">
        <w:rPr>
          <w:rFonts w:ascii="Rubik" w:hAnsi="Rubik" w:cs="Rubik"/>
          <w:color w:val="253B61"/>
        </w:rPr>
        <w:t>whether or not</w:t>
      </w:r>
      <w:proofErr w:type="gramEnd"/>
      <w:r w:rsidRPr="00171158">
        <w:rPr>
          <w:rFonts w:ascii="Rubik" w:hAnsi="Rubik" w:cs="Rubik"/>
          <w:color w:val="253B61"/>
        </w:rPr>
        <w:t xml:space="preserve"> the balance of the public interest lies in maintaining an exemption; or</w:t>
      </w:r>
    </w:p>
    <w:p w14:paraId="49A1A28E" w14:textId="176998A8" w:rsidR="00AA1324" w:rsidRPr="00171158" w:rsidRDefault="00AA1324" w:rsidP="1DBFBDCC">
      <w:pPr>
        <w:spacing w:before="0" w:beforeAutospacing="0" w:after="120" w:afterAutospacing="0"/>
        <w:ind w:left="720"/>
        <w:rPr>
          <w:rFonts w:ascii="Rubik" w:hAnsi="Rubik" w:cs="Rubik"/>
          <w:color w:val="253B61"/>
        </w:rPr>
      </w:pPr>
      <w:r w:rsidRPr="00171158">
        <w:rPr>
          <w:rFonts w:ascii="Rubik" w:hAnsi="Rubik" w:cs="Rubik"/>
          <w:color w:val="253B61"/>
        </w:rPr>
        <w:t xml:space="preserve"> </w:t>
      </w:r>
      <w:r w:rsidRPr="00171158">
        <w:rPr>
          <w:rFonts w:ascii="Rubik" w:eastAsia="Symbol" w:hAnsi="Rubik" w:cs="Rubik"/>
          <w:color w:val="253B61"/>
        </w:rPr>
        <w:t>·</w:t>
      </w:r>
      <w:r w:rsidRPr="00171158">
        <w:rPr>
          <w:rFonts w:ascii="Rubik" w:hAnsi="Rubik" w:cs="Rubik"/>
          <w:color w:val="253B61"/>
        </w:rPr>
        <w:t xml:space="preserve"> </w:t>
      </w:r>
      <w:proofErr w:type="gramStart"/>
      <w:r w:rsidRPr="00171158">
        <w:rPr>
          <w:rFonts w:ascii="Rubik" w:hAnsi="Rubik" w:cs="Rubik"/>
          <w:color w:val="253B61"/>
        </w:rPr>
        <w:t>it</w:t>
      </w:r>
      <w:proofErr w:type="gramEnd"/>
      <w:r w:rsidRPr="00171158">
        <w:rPr>
          <w:rFonts w:ascii="Rubik" w:hAnsi="Rubik" w:cs="Rubik"/>
          <w:color w:val="253B61"/>
        </w:rPr>
        <w:t xml:space="preserve"> needs further time to consider whether it would be in the public interest to confirm or deny whether the information is held</w:t>
      </w:r>
      <w:r w:rsidR="658588C0" w:rsidRPr="00171158">
        <w:rPr>
          <w:rFonts w:ascii="Rubik" w:hAnsi="Rubik" w:cs="Rubik"/>
          <w:color w:val="253B61"/>
        </w:rPr>
        <w:t>.</w:t>
      </w:r>
    </w:p>
    <w:p w14:paraId="58E602FE" w14:textId="77777777" w:rsidR="00AA1324" w:rsidRPr="00171158" w:rsidRDefault="00AA1324" w:rsidP="1DBFBDCC">
      <w:pPr>
        <w:spacing w:before="0" w:beforeAutospacing="0" w:after="120" w:afterAutospacing="0"/>
        <w:ind w:left="720"/>
        <w:rPr>
          <w:rFonts w:ascii="Rubik" w:hAnsi="Rubik" w:cs="Rubik"/>
          <w:color w:val="253B61"/>
        </w:rPr>
      </w:pPr>
    </w:p>
    <w:p w14:paraId="0B0DA936" w14:textId="7DF1F3E9" w:rsidR="00AA1324" w:rsidRPr="00171158" w:rsidRDefault="658588C0" w:rsidP="1DBFBDCC">
      <w:pPr>
        <w:spacing w:before="0" w:beforeAutospacing="0" w:after="120" w:afterAutospacing="0"/>
        <w:rPr>
          <w:rFonts w:ascii="Rubik" w:hAnsi="Rubik" w:cs="Rubik"/>
          <w:color w:val="253B61"/>
        </w:rPr>
      </w:pPr>
      <w:r w:rsidRPr="00171158">
        <w:rPr>
          <w:rFonts w:ascii="Rubik" w:hAnsi="Rubik" w:cs="Rubik"/>
          <w:color w:val="253B61"/>
        </w:rPr>
        <w:t>T</w:t>
      </w:r>
      <w:r w:rsidR="00AA1324" w:rsidRPr="00171158">
        <w:rPr>
          <w:rFonts w:ascii="Rubik" w:hAnsi="Rubik" w:cs="Rubik"/>
          <w:color w:val="253B61"/>
        </w:rPr>
        <w:t>he</w:t>
      </w:r>
      <w:r w:rsidR="00E03667">
        <w:rPr>
          <w:rFonts w:ascii="Rubik" w:hAnsi="Rubik" w:cs="Rubik"/>
          <w:color w:val="253B61"/>
        </w:rPr>
        <w:t xml:space="preserve"> IG Lead</w:t>
      </w:r>
      <w:r w:rsidR="00AA1324" w:rsidRPr="00171158">
        <w:rPr>
          <w:rFonts w:ascii="Rubik" w:hAnsi="Rubik" w:cs="Rubik"/>
          <w:color w:val="253B61"/>
        </w:rPr>
        <w:t xml:space="preserve"> will apply an extension of up to an additional 20 working days and inform the requester of this. </w:t>
      </w:r>
    </w:p>
    <w:p w14:paraId="2621356A"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The additional time cannot be used to determine whether an exemption is engaged it only permits extensions for further consideration of public interest. </w:t>
      </w:r>
    </w:p>
    <w:p w14:paraId="630AF135" w14:textId="77777777" w:rsidR="00AA1324" w:rsidRPr="000F4028" w:rsidRDefault="00AA1324" w:rsidP="007C45DB">
      <w:pPr>
        <w:pStyle w:val="Heading2"/>
        <w:numPr>
          <w:ilvl w:val="0"/>
          <w:numId w:val="0"/>
        </w:numPr>
        <w:ind w:left="360"/>
        <w:rPr>
          <w:lang w:eastAsia="en-GB"/>
        </w:rPr>
      </w:pPr>
      <w:bookmarkStart w:id="25" w:name="_Toc224130473"/>
      <w:r w:rsidRPr="000F4028">
        <w:rPr>
          <w:lang w:eastAsia="en-GB"/>
        </w:rPr>
        <w:t>6.6.2 Requests for Information obtained from Third Parties</w:t>
      </w:r>
      <w:bookmarkEnd w:id="25"/>
    </w:p>
    <w:p w14:paraId="35D465F5" w14:textId="777777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 xml:space="preserve">The </w:t>
      </w:r>
      <w:r w:rsidRPr="00171158">
        <w:rPr>
          <w:rFonts w:ascii="Rubik" w:hAnsi="Rubik" w:cs="Rubik"/>
          <w:color w:val="253B61"/>
        </w:rPr>
        <w:t>organisation</w:t>
      </w:r>
      <w:r w:rsidRPr="00171158">
        <w:rPr>
          <w:rFonts w:ascii="Rubik" w:eastAsia="Times New Roman" w:hAnsi="Rubik" w:cs="Rubik"/>
          <w:color w:val="253B61"/>
          <w:lang w:eastAsia="en-GB"/>
        </w:rPr>
        <w:t xml:space="preserve"> may receive a request for information which has been provided by a third party, for example, information held in a contract with a third-party supplier. In this case, the third party should be consulted about information held which falls into the scope of the request to consider whether information is suitable for disclosure, or an exemption applies. This may include:</w:t>
      </w:r>
    </w:p>
    <w:p w14:paraId="30582A77" w14:textId="77777777" w:rsidR="00AA1324" w:rsidRPr="00171158" w:rsidRDefault="00AA1324" w:rsidP="1DBFBDCC">
      <w:pPr>
        <w:pStyle w:val="ListParagraph"/>
        <w:numPr>
          <w:ilvl w:val="0"/>
          <w:numId w:val="22"/>
        </w:numPr>
        <w:spacing w:before="0" w:beforeAutospacing="0" w:after="120" w:afterAutospacing="0"/>
        <w:ind w:left="714" w:hanging="357"/>
        <w:rPr>
          <w:rFonts w:ascii="Rubik" w:eastAsia="Times New Roman" w:hAnsi="Rubik" w:cs="Rubik"/>
          <w:color w:val="253B61"/>
          <w:lang w:eastAsia="en-GB"/>
        </w:rPr>
      </w:pPr>
      <w:r w:rsidRPr="00171158">
        <w:rPr>
          <w:rFonts w:ascii="Rubik" w:eastAsia="Times New Roman" w:hAnsi="Rubik" w:cs="Rubik"/>
          <w:color w:val="253B61"/>
          <w:lang w:eastAsia="en-GB"/>
        </w:rPr>
        <w:t>when requests for information relate to persons or bodies who are not the applicant and/or the public authority; or</w:t>
      </w:r>
    </w:p>
    <w:p w14:paraId="4161F57E" w14:textId="77777777" w:rsidR="00AA1324" w:rsidRPr="00171158" w:rsidRDefault="00AA1324" w:rsidP="1DBFBDCC">
      <w:pPr>
        <w:pStyle w:val="ListParagraph"/>
        <w:numPr>
          <w:ilvl w:val="0"/>
          <w:numId w:val="22"/>
        </w:numPr>
        <w:spacing w:before="0" w:beforeAutospacing="0" w:after="120" w:afterAutospacing="0"/>
        <w:ind w:left="714" w:hanging="357"/>
        <w:rPr>
          <w:rFonts w:ascii="Rubik" w:eastAsia="Times New Roman" w:hAnsi="Rubik" w:cs="Rubik"/>
          <w:color w:val="253B61"/>
          <w:lang w:eastAsia="en-GB"/>
        </w:rPr>
      </w:pPr>
      <w:r w:rsidRPr="00171158">
        <w:rPr>
          <w:rFonts w:ascii="Rubik" w:eastAsia="Times New Roman" w:hAnsi="Rubik" w:cs="Rubik"/>
          <w:color w:val="253B61"/>
          <w:lang w:eastAsia="en-GB"/>
        </w:rPr>
        <w:t>when disclosure of information is likely to affect the interests of persons or bodies who are not the applicant or the authority.</w:t>
      </w:r>
    </w:p>
    <w:p w14:paraId="6613A994" w14:textId="77777777" w:rsidR="00AA1324" w:rsidRPr="000F4028" w:rsidRDefault="00AA1324" w:rsidP="007C45DB">
      <w:pPr>
        <w:pStyle w:val="Heading2"/>
        <w:numPr>
          <w:ilvl w:val="0"/>
          <w:numId w:val="0"/>
        </w:numPr>
        <w:ind w:left="360"/>
        <w:rPr>
          <w:lang w:eastAsia="en-GB"/>
        </w:rPr>
      </w:pPr>
      <w:bookmarkStart w:id="26" w:name="_Toc224130474"/>
      <w:r w:rsidRPr="000F4028">
        <w:rPr>
          <w:lang w:eastAsia="en-GB"/>
        </w:rPr>
        <w:t>6.6.3 Requests that include Information on Individuals (employees or third parties)</w:t>
      </w:r>
      <w:bookmarkEnd w:id="26"/>
    </w:p>
    <w:p w14:paraId="1B5D858F" w14:textId="7D35BFCD" w:rsidR="00AA1324" w:rsidRPr="00171158" w:rsidRDefault="00AA1324" w:rsidP="1DBFBDCC">
      <w:pPr>
        <w:spacing w:after="120" w:afterAutospacing="0"/>
        <w:rPr>
          <w:rFonts w:ascii="Rubik" w:hAnsi="Rubik" w:cs="Rubik"/>
          <w:color w:val="253B61"/>
        </w:rPr>
      </w:pPr>
      <w:r w:rsidRPr="00171158">
        <w:rPr>
          <w:rFonts w:ascii="Rubik" w:hAnsi="Rubik" w:cs="Rubik"/>
          <w:color w:val="253B61"/>
        </w:rPr>
        <w:t>Where the applicant is requesting their own data, the</w:t>
      </w:r>
      <w:r w:rsidR="00E03667">
        <w:rPr>
          <w:rFonts w:ascii="Rubik" w:hAnsi="Rubik" w:cs="Rubik"/>
          <w:color w:val="253B61"/>
        </w:rPr>
        <w:t xml:space="preserve"> IG Lead</w:t>
      </w:r>
      <w:r w:rsidRPr="00171158">
        <w:rPr>
          <w:rFonts w:ascii="Rubik" w:hAnsi="Rubik" w:cs="Rubik"/>
          <w:color w:val="253B61"/>
        </w:rPr>
        <w:t xml:space="preserve"> will inform the applicant that the request will be managed as a subject access request under the DPA 2018. Please refer to the organisation’s Individual’s Rights Procedure.</w:t>
      </w:r>
    </w:p>
    <w:p w14:paraId="6DD97CEA" w14:textId="4FE20902"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 xml:space="preserve">Where the personal information of others is requested, </w:t>
      </w:r>
      <w:r w:rsidRPr="00171158">
        <w:rPr>
          <w:rFonts w:ascii="Rubik" w:hAnsi="Rubik" w:cs="Rubik"/>
          <w:color w:val="253B61"/>
        </w:rPr>
        <w:t xml:space="preserve">the </w:t>
      </w:r>
      <w:r w:rsidR="00E03667">
        <w:rPr>
          <w:rFonts w:ascii="Rubik" w:hAnsi="Rubik" w:cs="Rubik"/>
          <w:color w:val="253B61"/>
        </w:rPr>
        <w:t>IG Lead</w:t>
      </w:r>
      <w:r w:rsidRPr="00171158">
        <w:rPr>
          <w:rFonts w:ascii="Rubik" w:hAnsi="Rubik" w:cs="Rubik"/>
          <w:color w:val="253B61"/>
        </w:rPr>
        <w:t xml:space="preserve"> will consider if </w:t>
      </w:r>
      <w:r w:rsidRPr="00171158">
        <w:rPr>
          <w:rFonts w:ascii="Rubik" w:eastAsia="Times New Roman" w:hAnsi="Rubik" w:cs="Rubik"/>
          <w:color w:val="253B61"/>
          <w:lang w:eastAsia="en-GB"/>
        </w:rPr>
        <w:t>the information is exempt under Section 40(2) of the FOI Act. There are three conditions to this, only one of these must be met:</w:t>
      </w:r>
    </w:p>
    <w:p w14:paraId="4B99FF2A" w14:textId="77777777" w:rsidR="00AA1324" w:rsidRPr="00171158" w:rsidRDefault="00AA1324" w:rsidP="1DBFBDCC">
      <w:pPr>
        <w:pStyle w:val="ListParagraph"/>
        <w:numPr>
          <w:ilvl w:val="0"/>
          <w:numId w:val="23"/>
        </w:numPr>
        <w:spacing w:before="0" w:beforeAutospacing="0" w:after="120" w:afterAutospacing="0"/>
        <w:ind w:left="714" w:hanging="357"/>
        <w:rPr>
          <w:rFonts w:ascii="Rubik" w:eastAsia="Times New Roman" w:hAnsi="Rubik" w:cs="Rubik"/>
          <w:color w:val="253B61"/>
          <w:lang w:eastAsia="en-GB"/>
        </w:rPr>
      </w:pPr>
      <w:r w:rsidRPr="00171158">
        <w:rPr>
          <w:rFonts w:ascii="Rubik" w:eastAsia="Times New Roman" w:hAnsi="Rubik" w:cs="Rubik"/>
          <w:color w:val="253B61"/>
          <w:lang w:eastAsia="en-GB"/>
        </w:rPr>
        <w:lastRenderedPageBreak/>
        <w:t>Disclosure would contravene one of the data protection principles – this would usually be the first principle – “Personal data shall be processed lawfully, fairly and in a transparent manner in relation to the data subject”.</w:t>
      </w:r>
    </w:p>
    <w:p w14:paraId="6DDEC64C" w14:textId="77777777" w:rsidR="00AA1324" w:rsidRPr="00171158" w:rsidRDefault="00AA1324" w:rsidP="1DBFBDCC">
      <w:pPr>
        <w:pStyle w:val="ListParagraph"/>
        <w:numPr>
          <w:ilvl w:val="0"/>
          <w:numId w:val="23"/>
        </w:numPr>
        <w:spacing w:before="0" w:beforeAutospacing="0" w:after="120" w:afterAutospacing="0"/>
        <w:ind w:left="714" w:hanging="357"/>
        <w:rPr>
          <w:rFonts w:ascii="Rubik" w:eastAsia="Times New Roman" w:hAnsi="Rubik" w:cs="Rubik"/>
          <w:color w:val="253B61"/>
          <w:lang w:eastAsia="en-GB"/>
        </w:rPr>
      </w:pPr>
      <w:r w:rsidRPr="00171158">
        <w:rPr>
          <w:rFonts w:ascii="Rubik" w:eastAsia="Times New Roman" w:hAnsi="Rubik" w:cs="Rubik"/>
          <w:color w:val="253B61"/>
          <w:lang w:eastAsia="en-GB"/>
        </w:rPr>
        <w:t>Disclosure would contravene an individual’s right to object where this has been exercised; or</w:t>
      </w:r>
    </w:p>
    <w:p w14:paraId="166A3BDC" w14:textId="77777777" w:rsidR="00AA1324" w:rsidRPr="00171158" w:rsidRDefault="00AA1324" w:rsidP="1DBFBDCC">
      <w:pPr>
        <w:pStyle w:val="ListParagraph"/>
        <w:numPr>
          <w:ilvl w:val="0"/>
          <w:numId w:val="23"/>
        </w:numPr>
        <w:spacing w:before="0" w:beforeAutospacing="0" w:after="120" w:afterAutospacing="0"/>
        <w:ind w:left="714" w:hanging="357"/>
        <w:rPr>
          <w:rFonts w:ascii="Rubik" w:eastAsia="Times New Roman" w:hAnsi="Rubik" w:cs="Rubik"/>
          <w:color w:val="253B61"/>
          <w:lang w:eastAsia="en-GB"/>
        </w:rPr>
      </w:pPr>
      <w:r w:rsidRPr="00171158">
        <w:rPr>
          <w:rFonts w:ascii="Rubik" w:eastAsia="Times New Roman" w:hAnsi="Rubik" w:cs="Rubik"/>
          <w:color w:val="253B61"/>
          <w:lang w:eastAsia="en-GB"/>
        </w:rPr>
        <w:t>The requested data would be exempt from the right of subject access. In other words, if a copy of the information would not be provided to the data subject on request, then it should not be disclosed under FOI.</w:t>
      </w:r>
    </w:p>
    <w:p w14:paraId="04873048"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Information related to deceased individuals is not subject to data protection legislation, however the common law duty of confidentiality remains. Where information relating to deceased individuals has been provided with the expectation it would remain confidential (i.e. health information), the organisation will utilise Section 41 Information Provided in Confidence. </w:t>
      </w:r>
    </w:p>
    <w:p w14:paraId="5153E6F6" w14:textId="7E6DEEBF" w:rsidR="00AA1324" w:rsidRPr="00171158" w:rsidRDefault="00A737AE" w:rsidP="007C45DB">
      <w:pPr>
        <w:pStyle w:val="Heading2"/>
        <w:numPr>
          <w:ilvl w:val="1"/>
          <w:numId w:val="31"/>
        </w:numPr>
        <w:rPr>
          <w:lang w:eastAsia="en-GB"/>
        </w:rPr>
      </w:pPr>
      <w:r w:rsidRPr="00171158">
        <w:rPr>
          <w:lang w:eastAsia="en-GB"/>
        </w:rPr>
        <w:t xml:space="preserve"> </w:t>
      </w:r>
      <w:bookmarkStart w:id="27" w:name="_Toc224130475"/>
      <w:r w:rsidR="00AA1324" w:rsidRPr="00171158">
        <w:rPr>
          <w:lang w:eastAsia="en-GB"/>
        </w:rPr>
        <w:t>Providing a response</w:t>
      </w:r>
      <w:bookmarkEnd w:id="27"/>
    </w:p>
    <w:p w14:paraId="1AD05D09" w14:textId="77777777" w:rsidR="00AA1324" w:rsidRPr="00171158" w:rsidRDefault="00AA1324" w:rsidP="1DBFBDCC">
      <w:pPr>
        <w:spacing w:after="120" w:afterAutospacing="0"/>
        <w:jc w:val="both"/>
        <w:rPr>
          <w:rFonts w:ascii="Rubik" w:hAnsi="Rubik" w:cs="Rubik"/>
          <w:color w:val="253B61"/>
        </w:rPr>
      </w:pPr>
      <w:r w:rsidRPr="00171158">
        <w:rPr>
          <w:rFonts w:ascii="Rubik" w:hAnsi="Rubik" w:cs="Rubik"/>
          <w:color w:val="253B61"/>
        </w:rPr>
        <w:t xml:space="preserve">The organisation will aim to identify whether, and where, requested information is held. Any identified information will be reviewed and separated from information to which an exemption or exception to release may be applied. </w:t>
      </w:r>
    </w:p>
    <w:p w14:paraId="468DEACD" w14:textId="77777777" w:rsidR="00AA1324" w:rsidRPr="00171158" w:rsidRDefault="00AA1324" w:rsidP="1DBFBDCC">
      <w:pPr>
        <w:spacing w:after="120" w:afterAutospacing="0"/>
        <w:jc w:val="both"/>
        <w:rPr>
          <w:rFonts w:ascii="Rubik" w:hAnsi="Rubik" w:cs="Rubik"/>
          <w:color w:val="253B61"/>
        </w:rPr>
      </w:pPr>
      <w:r w:rsidRPr="00171158">
        <w:rPr>
          <w:rFonts w:ascii="Rubik" w:hAnsi="Rubik" w:cs="Rubik"/>
          <w:color w:val="253B61"/>
        </w:rPr>
        <w:t>If information is to be released, the organisation will make a copy of the information, and make this available to the requester, either digitally (published online, sent via e-mail) or physically (sent via post).</w:t>
      </w:r>
    </w:p>
    <w:p w14:paraId="4D758DB8" w14:textId="77777777" w:rsidR="00AA1324" w:rsidRPr="00171158" w:rsidRDefault="00AA1324" w:rsidP="1DBFBDCC">
      <w:pPr>
        <w:spacing w:after="120" w:afterAutospacing="0"/>
        <w:jc w:val="both"/>
        <w:rPr>
          <w:rFonts w:ascii="Rubik" w:hAnsi="Rubik" w:cs="Rubik"/>
          <w:color w:val="253B61"/>
        </w:rPr>
      </w:pPr>
      <w:r w:rsidRPr="00171158">
        <w:rPr>
          <w:rFonts w:ascii="Rubik" w:hAnsi="Rubik" w:cs="Rubik"/>
          <w:color w:val="253B61"/>
        </w:rPr>
        <w:t>If no information can be released, the organisation will notify the requester of the reason(s) why the information will not be disclosed. This will include the exemption in question and why it applies. If it is a qualified exemption, the organisation will also include how they have considered the public interest test.</w:t>
      </w:r>
    </w:p>
    <w:p w14:paraId="31CA9E1E" w14:textId="77777777" w:rsidR="00AA1324" w:rsidRDefault="00AA1324" w:rsidP="1DBFBDCC">
      <w:pPr>
        <w:spacing w:before="0" w:beforeAutospacing="0" w:after="120" w:afterAutospacing="0" w:line="259" w:lineRule="auto"/>
        <w:rPr>
          <w:rFonts w:ascii="Rubik" w:hAnsi="Rubik" w:cs="Rubik"/>
          <w:color w:val="253B61"/>
        </w:rPr>
      </w:pPr>
      <w:r w:rsidRPr="00171158">
        <w:rPr>
          <w:rFonts w:ascii="Rubik" w:hAnsi="Rubik" w:cs="Rubik"/>
          <w:color w:val="253B61"/>
        </w:rPr>
        <w:t>All responses will include information about the requesters right to complain and request an internal review, should they be unhappy with the way their request has been dealt with. The response will also inform the requester of their right to raise their concerns with the Information Commissioner’s Office, including their contact details.</w:t>
      </w:r>
    </w:p>
    <w:p w14:paraId="21B59F8F" w14:textId="77777777" w:rsidR="000F4028" w:rsidRDefault="000F4028" w:rsidP="1DBFBDCC">
      <w:pPr>
        <w:spacing w:before="0" w:beforeAutospacing="0" w:after="120" w:afterAutospacing="0" w:line="259" w:lineRule="auto"/>
        <w:rPr>
          <w:rFonts w:ascii="Rubik" w:hAnsi="Rubik" w:cs="Rubik"/>
          <w:color w:val="253B61"/>
        </w:rPr>
      </w:pPr>
    </w:p>
    <w:p w14:paraId="397F5794" w14:textId="77777777" w:rsidR="000F4028" w:rsidRPr="00171158" w:rsidRDefault="000F4028" w:rsidP="1DBFBDCC">
      <w:pPr>
        <w:spacing w:before="0" w:beforeAutospacing="0" w:after="120" w:afterAutospacing="0" w:line="259" w:lineRule="auto"/>
        <w:rPr>
          <w:rFonts w:ascii="Rubik" w:hAnsi="Rubik" w:cs="Rubik"/>
          <w:color w:val="253B61"/>
        </w:rPr>
      </w:pPr>
    </w:p>
    <w:p w14:paraId="4520A94F" w14:textId="77777777" w:rsidR="00AA1324" w:rsidRPr="000F4028" w:rsidRDefault="00AA1324" w:rsidP="007C45DB">
      <w:pPr>
        <w:pStyle w:val="Heading2"/>
        <w:numPr>
          <w:ilvl w:val="0"/>
          <w:numId w:val="0"/>
        </w:numPr>
        <w:ind w:left="360"/>
        <w:rPr>
          <w:lang w:eastAsia="en-GB"/>
        </w:rPr>
      </w:pPr>
      <w:bookmarkStart w:id="28" w:name="_Toc224130476"/>
      <w:r w:rsidRPr="000F4028">
        <w:rPr>
          <w:lang w:eastAsia="en-GB"/>
        </w:rPr>
        <w:t>6.7.1 Redacting Information and small number suppression</w:t>
      </w:r>
      <w:bookmarkEnd w:id="28"/>
    </w:p>
    <w:p w14:paraId="110C0F53"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The FOI Act and EIR refers to the release of information rather than documents and therefore it may be appropriate to release some of the information held within a document. Any potentially sensitive information not relevant to the request should be removed or redacted. </w:t>
      </w:r>
    </w:p>
    <w:p w14:paraId="16B48B8B" w14:textId="2F1504D5" w:rsidR="00AA1324" w:rsidRPr="00171158" w:rsidRDefault="00AA1324" w:rsidP="1DBFBDCC">
      <w:pPr>
        <w:spacing w:after="120" w:afterAutospacing="0"/>
        <w:rPr>
          <w:rFonts w:ascii="Rubik" w:hAnsi="Rubik" w:cs="Rubik"/>
          <w:color w:val="253B61"/>
        </w:rPr>
      </w:pPr>
      <w:r w:rsidRPr="00171158">
        <w:rPr>
          <w:rFonts w:ascii="Rubik" w:hAnsi="Rubik" w:cs="Rubik"/>
          <w:color w:val="253B61"/>
        </w:rPr>
        <w:t>Where a response to a request is to disclose aggregate data, the</w:t>
      </w:r>
      <w:r w:rsidR="00E03667">
        <w:rPr>
          <w:rFonts w:ascii="Rubik" w:hAnsi="Rubik" w:cs="Rubik"/>
          <w:color w:val="253B61"/>
        </w:rPr>
        <w:t xml:space="preserve"> IG Lead</w:t>
      </w:r>
      <w:r w:rsidRPr="00171158">
        <w:rPr>
          <w:rFonts w:ascii="Rubik" w:hAnsi="Rubik" w:cs="Rubik"/>
          <w:color w:val="253B61"/>
        </w:rPr>
        <w:t xml:space="preserve"> will consider if the information is likely to be identifiable where small numbers are involved. Where necessary, the</w:t>
      </w:r>
      <w:r w:rsidR="00E03667">
        <w:rPr>
          <w:rFonts w:ascii="Rubik" w:hAnsi="Rubik" w:cs="Rubik"/>
          <w:color w:val="253B61"/>
        </w:rPr>
        <w:t xml:space="preserve"> IG Lead</w:t>
      </w:r>
      <w:r w:rsidRPr="00171158">
        <w:rPr>
          <w:rFonts w:ascii="Rubik" w:hAnsi="Rubik" w:cs="Rubik"/>
          <w:color w:val="253B61"/>
        </w:rPr>
        <w:t xml:space="preserve"> will consult with the Senior Responsible Person and DPO Support Service, to establish this. Considerations will include, the number of individuals involved, other identifying criteria (i.e. specific diagnosis, age group), and information already in the public domain (i.e. organisation's catchment area). </w:t>
      </w:r>
    </w:p>
    <w:p w14:paraId="275A034D"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Where small numbers are supressed, the organisation will apply the Section 40(2) exemption along with details of the factors considered when suppressing the numbers. </w:t>
      </w:r>
    </w:p>
    <w:p w14:paraId="433D7677" w14:textId="77777777" w:rsidR="00AA1324" w:rsidRPr="000F4028" w:rsidRDefault="00AA1324" w:rsidP="007C45DB">
      <w:pPr>
        <w:pStyle w:val="Heading2"/>
        <w:numPr>
          <w:ilvl w:val="0"/>
          <w:numId w:val="0"/>
        </w:numPr>
        <w:ind w:left="360"/>
        <w:rPr>
          <w:lang w:eastAsia="en-GB"/>
        </w:rPr>
      </w:pPr>
      <w:bookmarkStart w:id="29" w:name="_Toc224130477"/>
      <w:r w:rsidRPr="000F4028">
        <w:rPr>
          <w:lang w:eastAsia="en-GB"/>
        </w:rPr>
        <w:t>6.7.2 Requests for Information not held by the organisation</w:t>
      </w:r>
      <w:bookmarkEnd w:id="29"/>
    </w:p>
    <w:p w14:paraId="27F696BD" w14:textId="1B58652E"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 xml:space="preserve">If the </w:t>
      </w:r>
      <w:r w:rsidRPr="00171158">
        <w:rPr>
          <w:rFonts w:ascii="Rubik" w:hAnsi="Rubik" w:cs="Rubik"/>
          <w:color w:val="253B61"/>
        </w:rPr>
        <w:t>organisation</w:t>
      </w:r>
      <w:r w:rsidRPr="00171158">
        <w:rPr>
          <w:rFonts w:ascii="Rubik" w:eastAsia="Times New Roman" w:hAnsi="Rubik" w:cs="Rubik"/>
          <w:color w:val="253B61"/>
          <w:lang w:eastAsia="en-GB"/>
        </w:rPr>
        <w:t xml:space="preserve"> does not hold all or part of the information requested, then the</w:t>
      </w:r>
      <w:r w:rsidR="00E03667">
        <w:rPr>
          <w:rFonts w:ascii="Rubik" w:eastAsia="Times New Roman" w:hAnsi="Rubik" w:cs="Rubik"/>
          <w:color w:val="253B61"/>
          <w:lang w:eastAsia="en-GB"/>
        </w:rPr>
        <w:t xml:space="preserve"> IG Lead</w:t>
      </w:r>
      <w:r w:rsidRPr="00171158">
        <w:rPr>
          <w:rFonts w:ascii="Rubik" w:hAnsi="Rubik" w:cs="Rubik"/>
          <w:color w:val="253B61"/>
        </w:rPr>
        <w:t xml:space="preserve"> </w:t>
      </w:r>
      <w:r w:rsidRPr="00171158">
        <w:rPr>
          <w:rFonts w:ascii="Rubik" w:eastAsia="Times New Roman" w:hAnsi="Rubik" w:cs="Rubik"/>
          <w:color w:val="253B61"/>
          <w:lang w:eastAsia="en-GB"/>
        </w:rPr>
        <w:t>will inform the applicant of this in the formal response.</w:t>
      </w:r>
    </w:p>
    <w:p w14:paraId="3A018C87" w14:textId="77777777" w:rsidR="00AA1324"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lastRenderedPageBreak/>
        <w:t xml:space="preserve">Where some or </w:t>
      </w:r>
      <w:proofErr w:type="gramStart"/>
      <w:r w:rsidRPr="00171158">
        <w:rPr>
          <w:rFonts w:ascii="Rubik" w:eastAsia="Times New Roman" w:hAnsi="Rubik" w:cs="Rubik"/>
          <w:color w:val="253B61"/>
          <w:lang w:eastAsia="en-GB"/>
        </w:rPr>
        <w:t>all of</w:t>
      </w:r>
      <w:proofErr w:type="gramEnd"/>
      <w:r w:rsidRPr="00171158">
        <w:rPr>
          <w:rFonts w:ascii="Rubik" w:eastAsia="Times New Roman" w:hAnsi="Rubik" w:cs="Rubik"/>
          <w:color w:val="253B61"/>
          <w:lang w:eastAsia="en-GB"/>
        </w:rPr>
        <w:t xml:space="preserve"> the information they have requested is held by another organisation, details of this will be included, suggesting that the applicant applies to the other organisation directly, and provide contact details if known.</w:t>
      </w:r>
    </w:p>
    <w:p w14:paraId="72DC8406" w14:textId="77777777" w:rsidR="00E03667" w:rsidRDefault="00E03667" w:rsidP="1DBFBDCC">
      <w:pPr>
        <w:spacing w:after="120" w:afterAutospacing="0"/>
        <w:rPr>
          <w:rFonts w:ascii="Rubik" w:eastAsia="Times New Roman" w:hAnsi="Rubik" w:cs="Rubik"/>
          <w:color w:val="253B61"/>
          <w:lang w:eastAsia="en-GB"/>
        </w:rPr>
      </w:pPr>
    </w:p>
    <w:p w14:paraId="77FD921B" w14:textId="77777777" w:rsidR="00E03667" w:rsidRPr="00171158" w:rsidRDefault="00E03667" w:rsidP="1DBFBDCC">
      <w:pPr>
        <w:spacing w:after="120" w:afterAutospacing="0"/>
        <w:rPr>
          <w:rFonts w:ascii="Rubik" w:eastAsia="Times New Roman" w:hAnsi="Rubik" w:cs="Rubik"/>
          <w:color w:val="253B61"/>
          <w:lang w:eastAsia="en-GB"/>
        </w:rPr>
      </w:pPr>
    </w:p>
    <w:p w14:paraId="6878F5E6" w14:textId="3908BD3F" w:rsidR="00AA1324" w:rsidRPr="00171158" w:rsidRDefault="00A737AE" w:rsidP="007C45DB">
      <w:pPr>
        <w:pStyle w:val="Heading2"/>
        <w:numPr>
          <w:ilvl w:val="1"/>
          <w:numId w:val="31"/>
        </w:numPr>
      </w:pPr>
      <w:r w:rsidRPr="00171158">
        <w:t xml:space="preserve"> </w:t>
      </w:r>
      <w:bookmarkStart w:id="30" w:name="_Toc224130478"/>
      <w:r w:rsidR="00AA1324" w:rsidRPr="00171158">
        <w:t>Complaints, Reviews and Appeals</w:t>
      </w:r>
      <w:bookmarkEnd w:id="30"/>
    </w:p>
    <w:p w14:paraId="037E771D" w14:textId="77777777" w:rsidR="00AA1324" w:rsidRPr="007C45DB" w:rsidRDefault="00AA1324" w:rsidP="007C45DB">
      <w:pPr>
        <w:pStyle w:val="Heading2"/>
        <w:numPr>
          <w:ilvl w:val="0"/>
          <w:numId w:val="0"/>
        </w:numPr>
      </w:pPr>
      <w:bookmarkStart w:id="31" w:name="_Toc224130479"/>
      <w:r w:rsidRPr="007C45DB">
        <w:t>6.8.1 Complaints</w:t>
      </w:r>
      <w:bookmarkEnd w:id="31"/>
    </w:p>
    <w:p w14:paraId="25AC3EFF" w14:textId="202E62A1" w:rsidR="00AA1324" w:rsidRPr="00171158" w:rsidRDefault="00AA1324" w:rsidP="1DBFBDCC">
      <w:pPr>
        <w:spacing w:after="120" w:afterAutospacing="0"/>
        <w:rPr>
          <w:rFonts w:ascii="Rubik" w:hAnsi="Rubik" w:cs="Rubik"/>
          <w:color w:val="253B61"/>
        </w:rPr>
      </w:pPr>
      <w:r w:rsidRPr="00171158">
        <w:rPr>
          <w:rFonts w:ascii="Rubik" w:hAnsi="Rubik" w:cs="Rubik"/>
          <w:color w:val="253B61"/>
        </w:rPr>
        <w:t>If, at any stage of the process, the applicant complains or expresses concern about the progress of the request and the response, then initially this is to be dealt with internally by the</w:t>
      </w:r>
      <w:r w:rsidR="00E03667">
        <w:rPr>
          <w:rFonts w:ascii="Rubik" w:hAnsi="Rubik" w:cs="Rubik"/>
          <w:color w:val="253B61"/>
        </w:rPr>
        <w:t xml:space="preserve"> IG Lead</w:t>
      </w:r>
      <w:r w:rsidRPr="00171158">
        <w:rPr>
          <w:rFonts w:ascii="Rubik" w:hAnsi="Rubik" w:cs="Rubik"/>
          <w:color w:val="253B61"/>
        </w:rPr>
        <w:t>. If a satisfactory response cannot be made or there is no success in resolving the matter, then the applicant must be informed of the formal review process and provided contact details of the Information Commissioner’s Office (ICO).</w:t>
      </w:r>
    </w:p>
    <w:p w14:paraId="5BF97D99" w14:textId="777777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 xml:space="preserve">Every response issued will inform the applicant about the right to an internal review, as well as the right of appeal to the ICO if they remain unsatisfied. Applicants will be informed that the ICO is unlikely to consider a complaint from an applicant who has not first attempted to resolve the issue via the </w:t>
      </w:r>
      <w:r w:rsidRPr="00171158">
        <w:rPr>
          <w:rFonts w:ascii="Rubik" w:hAnsi="Rubik" w:cs="Rubik"/>
          <w:color w:val="253B61"/>
        </w:rPr>
        <w:t>organisation</w:t>
      </w:r>
      <w:r w:rsidRPr="00171158">
        <w:rPr>
          <w:rFonts w:ascii="Rubik" w:eastAsia="Times New Roman" w:hAnsi="Rubik" w:cs="Rubik"/>
          <w:color w:val="253B61"/>
          <w:lang w:eastAsia="en-GB"/>
        </w:rPr>
        <w:t>’s internal review procedure.</w:t>
      </w:r>
    </w:p>
    <w:p w14:paraId="0D5442EF" w14:textId="77777777" w:rsidR="00AA1324" w:rsidRPr="007C45DB" w:rsidRDefault="00AA1324" w:rsidP="007C45DB">
      <w:pPr>
        <w:pStyle w:val="Heading2"/>
        <w:numPr>
          <w:ilvl w:val="0"/>
          <w:numId w:val="0"/>
        </w:numPr>
        <w:ind w:left="360"/>
        <w:rPr>
          <w:lang w:eastAsia="en-GB"/>
        </w:rPr>
      </w:pPr>
      <w:bookmarkStart w:id="32" w:name="_Toc224130480"/>
      <w:r w:rsidRPr="007C45DB">
        <w:rPr>
          <w:lang w:eastAsia="en-GB"/>
        </w:rPr>
        <w:t>6.8.2 Reviews</w:t>
      </w:r>
      <w:bookmarkEnd w:id="32"/>
    </w:p>
    <w:p w14:paraId="749870F6" w14:textId="777777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Applicants may request an internal review if they believe that any FOI or EIR exemptions and exceptions have been wrongly applied, the costs estimate is incorrect, or the response time took longer than 20 working days to provide.</w:t>
      </w:r>
    </w:p>
    <w:p w14:paraId="173278AB" w14:textId="777777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Applicants should request a review within two months of receiving the final response to their FOI request.</w:t>
      </w:r>
    </w:p>
    <w:p w14:paraId="064BEFCC" w14:textId="777777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The review must be undertaken impartially by someone senior to the person who was not involved in the original decision, where practicable. Where this is impracticable, it is to be undertaken by someone different to the original decision-maker but who understands freedom of information.</w:t>
      </w:r>
    </w:p>
    <w:p w14:paraId="2A3B1703" w14:textId="74613E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 xml:space="preserve">The </w:t>
      </w:r>
      <w:r w:rsidR="00E03667">
        <w:rPr>
          <w:rFonts w:ascii="Rubik" w:eastAsia="Times New Roman" w:hAnsi="Rubik" w:cs="Rubik"/>
          <w:color w:val="253B61"/>
          <w:lang w:eastAsia="en-GB"/>
        </w:rPr>
        <w:t>IG Lead</w:t>
      </w:r>
      <w:r w:rsidRPr="00171158">
        <w:rPr>
          <w:rFonts w:ascii="Rubik" w:hAnsi="Rubik" w:cs="Rubik"/>
          <w:color w:val="253B61"/>
        </w:rPr>
        <w:t xml:space="preserve"> will</w:t>
      </w:r>
      <w:r w:rsidRPr="00171158">
        <w:rPr>
          <w:rFonts w:ascii="Rubik" w:eastAsia="Times New Roman" w:hAnsi="Rubik" w:cs="Rubik"/>
          <w:color w:val="253B61"/>
          <w:lang w:eastAsia="en-GB"/>
        </w:rPr>
        <w:t xml:space="preserve"> keep the applicant fully informed throughout the review process, including an expected date in which the review will be complete. This will generally be within 20 working days of the receipt of a review request, or in exceptional cases, within 40 working days.</w:t>
      </w:r>
    </w:p>
    <w:p w14:paraId="37EEA6E1"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If the outcome is that information should be disclosed, then this is to be done as soon as possible. If the original decision is upheld, the organisation will advise the applicant of their right of appeal to the ICO.</w:t>
      </w:r>
    </w:p>
    <w:p w14:paraId="5984E8F1" w14:textId="77777777" w:rsidR="00AA1324" w:rsidRPr="007C45DB" w:rsidRDefault="00AA1324" w:rsidP="007C45DB">
      <w:pPr>
        <w:pStyle w:val="Heading2"/>
        <w:numPr>
          <w:ilvl w:val="0"/>
          <w:numId w:val="0"/>
        </w:numPr>
        <w:ind w:left="360"/>
        <w:rPr>
          <w:lang w:eastAsia="en-GB"/>
        </w:rPr>
      </w:pPr>
      <w:bookmarkStart w:id="33" w:name="_Toc224130481"/>
      <w:r w:rsidRPr="007C45DB">
        <w:rPr>
          <w:lang w:eastAsia="en-GB"/>
        </w:rPr>
        <w:t>6.8.3 ICO Complaints and Appeals</w:t>
      </w:r>
      <w:bookmarkEnd w:id="33"/>
    </w:p>
    <w:p w14:paraId="5AE95245"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The applicant may complain to the ICO who will investigate the facts behind the complaint and may then issue a Decision Notice. This is the ICO's view on whether the organisation has complied with the FOI Act or EIR. The ICO may ask the organisation to disclose some or all the information or decide that information was correctly withheld.</w:t>
      </w:r>
    </w:p>
    <w:p w14:paraId="44061069" w14:textId="3D87B79B" w:rsidR="00AA1324" w:rsidRPr="00171158" w:rsidRDefault="00AA1324" w:rsidP="1DBFBDCC">
      <w:pPr>
        <w:spacing w:after="120" w:afterAutospacing="0"/>
        <w:rPr>
          <w:rFonts w:ascii="Rubik" w:hAnsi="Rubik" w:cs="Rubik"/>
          <w:color w:val="253B61"/>
        </w:rPr>
      </w:pPr>
      <w:r w:rsidRPr="00171158">
        <w:rPr>
          <w:rFonts w:ascii="Rubik" w:eastAsia="Times New Roman" w:hAnsi="Rubik" w:cs="Rubik"/>
          <w:color w:val="253B61"/>
          <w:lang w:eastAsia="en-GB"/>
        </w:rPr>
        <w:t xml:space="preserve">Where the </w:t>
      </w:r>
      <w:r w:rsidRPr="00171158">
        <w:rPr>
          <w:rFonts w:ascii="Rubik" w:hAnsi="Rubik" w:cs="Rubik"/>
          <w:color w:val="253B61"/>
        </w:rPr>
        <w:t>organisation</w:t>
      </w:r>
      <w:r w:rsidRPr="00171158">
        <w:rPr>
          <w:rFonts w:ascii="Rubik" w:eastAsia="Times New Roman" w:hAnsi="Rubik" w:cs="Rubik"/>
          <w:color w:val="253B61"/>
          <w:lang w:eastAsia="en-GB"/>
        </w:rPr>
        <w:t xml:space="preserve"> is contacted by the ICO for further details on a request, the </w:t>
      </w:r>
      <w:r w:rsidR="00E03667">
        <w:rPr>
          <w:rFonts w:ascii="Rubik" w:eastAsia="Times New Roman" w:hAnsi="Rubik" w:cs="Rubik"/>
          <w:color w:val="253B61"/>
          <w:lang w:eastAsia="en-GB"/>
        </w:rPr>
        <w:t>IG Lead</w:t>
      </w:r>
      <w:r w:rsidRPr="00171158">
        <w:rPr>
          <w:rFonts w:ascii="Rubik" w:hAnsi="Rubik" w:cs="Rubik"/>
          <w:color w:val="253B61"/>
        </w:rPr>
        <w:t xml:space="preserve"> will contact the DHCW DPO Support Service for assistance drafting a response. </w:t>
      </w:r>
    </w:p>
    <w:p w14:paraId="37B062D6"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lastRenderedPageBreak/>
        <w:t xml:space="preserve">The organisation will act on the outcome of the ICO’s decision notice and recommendations as a priority. </w:t>
      </w:r>
    </w:p>
    <w:p w14:paraId="04CC8BA8" w14:textId="07E20F3A" w:rsidR="00AA1324" w:rsidRPr="00171158" w:rsidRDefault="00A737AE" w:rsidP="007C45DB">
      <w:pPr>
        <w:pStyle w:val="Heading2"/>
        <w:numPr>
          <w:ilvl w:val="1"/>
          <w:numId w:val="31"/>
        </w:numPr>
        <w:rPr>
          <w:lang w:eastAsia="en-GB"/>
        </w:rPr>
      </w:pPr>
      <w:r w:rsidRPr="00171158">
        <w:rPr>
          <w:lang w:eastAsia="en-GB"/>
        </w:rPr>
        <w:t xml:space="preserve"> </w:t>
      </w:r>
      <w:bookmarkStart w:id="34" w:name="_Toc224130482"/>
      <w:r w:rsidR="00AA1324" w:rsidRPr="00171158">
        <w:rPr>
          <w:lang w:eastAsia="en-GB"/>
        </w:rPr>
        <w:t>Retention</w:t>
      </w:r>
      <w:bookmarkEnd w:id="34"/>
    </w:p>
    <w:p w14:paraId="36164C54" w14:textId="77777777" w:rsidR="00AA1324" w:rsidRPr="00171158" w:rsidRDefault="00AA1324" w:rsidP="1DBFBDCC">
      <w:pPr>
        <w:pStyle w:val="ListParagraph"/>
        <w:spacing w:after="120" w:afterAutospacing="0"/>
        <w:ind w:left="0"/>
        <w:rPr>
          <w:rFonts w:ascii="Rubik" w:eastAsia="Times New Roman" w:hAnsi="Rubik" w:cs="Rubik"/>
          <w:color w:val="253B61"/>
          <w:lang w:eastAsia="en-GB"/>
        </w:rPr>
      </w:pPr>
      <w:r w:rsidRPr="00171158">
        <w:rPr>
          <w:rFonts w:ascii="Rubik" w:eastAsia="Times New Roman" w:hAnsi="Rubik" w:cs="Rubik"/>
          <w:color w:val="253B61"/>
          <w:lang w:eastAsia="en-GB"/>
        </w:rPr>
        <w:t xml:space="preserve">All requests, responses, associated documents and communications will be kept in line with the </w:t>
      </w:r>
      <w:r w:rsidRPr="00171158">
        <w:rPr>
          <w:rFonts w:ascii="Rubik" w:hAnsi="Rubik" w:cs="Rubik"/>
          <w:color w:val="253B61"/>
        </w:rPr>
        <w:t>organisation</w:t>
      </w:r>
      <w:r w:rsidRPr="00171158">
        <w:rPr>
          <w:rFonts w:ascii="Rubik" w:eastAsia="Times New Roman" w:hAnsi="Rubik" w:cs="Rubik"/>
          <w:color w:val="253B61"/>
          <w:lang w:eastAsia="en-GB"/>
        </w:rPr>
        <w:t xml:space="preserve">’s records management policy. </w:t>
      </w:r>
    </w:p>
    <w:p w14:paraId="107AF102" w14:textId="77777777" w:rsidR="00AA1324" w:rsidRPr="00171158" w:rsidRDefault="00AA1324" w:rsidP="007C45DB">
      <w:pPr>
        <w:pStyle w:val="Heading2"/>
        <w:numPr>
          <w:ilvl w:val="1"/>
          <w:numId w:val="31"/>
        </w:numPr>
        <w:rPr>
          <w:lang w:eastAsia="en-GB"/>
        </w:rPr>
      </w:pPr>
      <w:bookmarkStart w:id="35" w:name="_Toc224130483"/>
      <w:r w:rsidRPr="00171158">
        <w:rPr>
          <w:lang w:eastAsia="en-GB"/>
        </w:rPr>
        <w:t>Disclosure Log</w:t>
      </w:r>
      <w:bookmarkEnd w:id="35"/>
    </w:p>
    <w:p w14:paraId="577C9FEF" w14:textId="4EB1CE30" w:rsidR="00AA1324" w:rsidRPr="00171158" w:rsidRDefault="00AA1324" w:rsidP="1DBFBDCC">
      <w:pPr>
        <w:spacing w:after="120" w:afterAutospacing="0"/>
        <w:rPr>
          <w:rFonts w:ascii="Rubik" w:hAnsi="Rubik" w:cs="Rubik"/>
          <w:color w:val="253B61"/>
        </w:rPr>
      </w:pPr>
      <w:r w:rsidRPr="00171158">
        <w:rPr>
          <w:rFonts w:ascii="Rubik" w:eastAsia="Times New Roman" w:hAnsi="Rubik" w:cs="Rubik"/>
          <w:color w:val="253B61"/>
          <w:lang w:eastAsia="en-GB"/>
        </w:rPr>
        <w:t xml:space="preserve">The </w:t>
      </w:r>
      <w:r w:rsidRPr="00171158">
        <w:rPr>
          <w:rFonts w:ascii="Rubik" w:hAnsi="Rubik" w:cs="Rubik"/>
          <w:color w:val="253B61"/>
        </w:rPr>
        <w:t>organisation</w:t>
      </w:r>
      <w:r w:rsidRPr="00171158">
        <w:rPr>
          <w:rFonts w:ascii="Rubik" w:eastAsia="Times New Roman" w:hAnsi="Rubik" w:cs="Rubik"/>
          <w:color w:val="253B61"/>
          <w:lang w:eastAsia="en-GB"/>
        </w:rPr>
        <w:t xml:space="preserve"> will maintain a public disclosure log to record anonymised FOI and EIR requests and responses which may be of the wider public interest. The</w:t>
      </w:r>
      <w:r w:rsidR="00E03667">
        <w:rPr>
          <w:rFonts w:ascii="Rubik" w:eastAsia="Times New Roman" w:hAnsi="Rubik" w:cs="Rubik"/>
          <w:color w:val="253B61"/>
          <w:lang w:eastAsia="en-GB"/>
        </w:rPr>
        <w:t xml:space="preserve"> IG Lead</w:t>
      </w:r>
      <w:r w:rsidRPr="00171158">
        <w:rPr>
          <w:rFonts w:ascii="Rubik" w:hAnsi="Rubik" w:cs="Rubik"/>
          <w:color w:val="253B61"/>
        </w:rPr>
        <w:t xml:space="preserve"> will update the disclosure log </w:t>
      </w:r>
      <w:r w:rsidR="00E03667">
        <w:rPr>
          <w:rFonts w:ascii="Rubik" w:hAnsi="Rubik" w:cs="Rubik"/>
          <w:color w:val="253B61"/>
        </w:rPr>
        <w:t xml:space="preserve">within 2 </w:t>
      </w:r>
      <w:proofErr w:type="gramStart"/>
      <w:r w:rsidR="00E03667">
        <w:rPr>
          <w:rFonts w:ascii="Rubik" w:hAnsi="Rubik" w:cs="Rubik"/>
          <w:color w:val="253B61"/>
        </w:rPr>
        <w:t>weeks</w:t>
      </w:r>
      <w:r w:rsidRPr="00171158">
        <w:rPr>
          <w:rFonts w:ascii="Rubik" w:hAnsi="Rubik" w:cs="Rubik"/>
          <w:color w:val="253B61"/>
        </w:rPr>
        <w:t>,</w:t>
      </w:r>
      <w:proofErr w:type="gramEnd"/>
      <w:r w:rsidRPr="00171158">
        <w:rPr>
          <w:rFonts w:ascii="Rubik" w:hAnsi="Rubik" w:cs="Rubik"/>
          <w:color w:val="253B61"/>
        </w:rPr>
        <w:t xml:space="preserve"> responses will not be published on the organisation’s disclosure log prior to being provided to the applicant. </w:t>
      </w:r>
    </w:p>
    <w:p w14:paraId="6310753B" w14:textId="77777777" w:rsidR="00AA1324" w:rsidRPr="00171158" w:rsidRDefault="00AA1324" w:rsidP="007C45DB">
      <w:pPr>
        <w:pStyle w:val="Heading2"/>
        <w:numPr>
          <w:ilvl w:val="0"/>
          <w:numId w:val="0"/>
        </w:numPr>
        <w:ind w:left="360"/>
      </w:pPr>
      <w:bookmarkStart w:id="36" w:name="_Toc224130484"/>
      <w:r w:rsidRPr="00171158">
        <w:t>6.11 Publication Scheme</w:t>
      </w:r>
      <w:bookmarkEnd w:id="36"/>
    </w:p>
    <w:p w14:paraId="096E375F"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The organisation will maintain an FOI and EIR publication scheme which sets out</w:t>
      </w:r>
      <w:r w:rsidRPr="00171158">
        <w:rPr>
          <w:rFonts w:ascii="Rubik" w:hAnsi="Rubik" w:cs="Rubik"/>
          <w:color w:val="253B61"/>
          <w:sz w:val="23"/>
          <w:szCs w:val="23"/>
          <w:shd w:val="clear" w:color="auto" w:fill="FFFFFF"/>
        </w:rPr>
        <w:t xml:space="preserve"> </w:t>
      </w:r>
      <w:r w:rsidRPr="00171158">
        <w:rPr>
          <w:rFonts w:ascii="Rubik" w:hAnsi="Rubik" w:cs="Rubik"/>
          <w:color w:val="253B61"/>
          <w:shd w:val="clear" w:color="auto" w:fill="FFFFFF"/>
        </w:rPr>
        <w:t xml:space="preserve">the </w:t>
      </w:r>
      <w:r w:rsidRPr="00171158">
        <w:rPr>
          <w:rFonts w:ascii="Rubik" w:hAnsi="Rubik" w:cs="Rubik"/>
          <w:color w:val="253B61"/>
        </w:rPr>
        <w:t>organisation</w:t>
      </w:r>
      <w:r w:rsidRPr="00171158">
        <w:rPr>
          <w:rFonts w:ascii="Rubik" w:hAnsi="Rubik" w:cs="Rubik"/>
          <w:color w:val="253B61"/>
          <w:shd w:val="clear" w:color="auto" w:fill="FFFFFF"/>
        </w:rPr>
        <w:t xml:space="preserve">’s high-level commitment to proactively publish information. The publication scheme commits the </w:t>
      </w:r>
      <w:r w:rsidRPr="00171158">
        <w:rPr>
          <w:rFonts w:ascii="Rubik" w:hAnsi="Rubik" w:cs="Rubik"/>
          <w:color w:val="253B61"/>
        </w:rPr>
        <w:t>organisation</w:t>
      </w:r>
      <w:r w:rsidRPr="00171158">
        <w:rPr>
          <w:rFonts w:ascii="Rubik" w:hAnsi="Rubik" w:cs="Rubik"/>
          <w:color w:val="253B61"/>
          <w:shd w:val="clear" w:color="auto" w:fill="FFFFFF"/>
        </w:rPr>
        <w:t xml:space="preserve"> to publish certain classes of information. These are:</w:t>
      </w:r>
    </w:p>
    <w:p w14:paraId="644EF04E" w14:textId="77777777" w:rsidR="00AA1324" w:rsidRPr="00171158" w:rsidRDefault="00AA1324" w:rsidP="1DBFBDCC">
      <w:pPr>
        <w:spacing w:before="0" w:beforeAutospacing="0" w:after="120" w:afterAutospacing="0"/>
        <w:ind w:left="720"/>
        <w:rPr>
          <w:rFonts w:ascii="Rubik" w:hAnsi="Rubik" w:cs="Rubik"/>
          <w:color w:val="253B61"/>
        </w:rPr>
      </w:pPr>
      <w:r w:rsidRPr="00171158">
        <w:rPr>
          <w:rFonts w:ascii="Rubik" w:hAnsi="Rubik" w:cs="Rubik"/>
          <w:color w:val="253B61"/>
        </w:rPr>
        <w:t xml:space="preserve">• Who we are and what we do </w:t>
      </w:r>
    </w:p>
    <w:p w14:paraId="4365D466" w14:textId="77777777" w:rsidR="00AA1324" w:rsidRPr="00171158" w:rsidRDefault="00AA1324" w:rsidP="1DBFBDCC">
      <w:pPr>
        <w:spacing w:before="0" w:beforeAutospacing="0" w:after="120" w:afterAutospacing="0"/>
        <w:ind w:left="720"/>
        <w:rPr>
          <w:rFonts w:ascii="Rubik" w:hAnsi="Rubik" w:cs="Rubik"/>
          <w:color w:val="253B61"/>
        </w:rPr>
      </w:pPr>
      <w:r w:rsidRPr="00171158">
        <w:rPr>
          <w:rFonts w:ascii="Rubik" w:hAnsi="Rubik" w:cs="Rubik"/>
          <w:color w:val="253B61"/>
        </w:rPr>
        <w:t xml:space="preserve">• What we spend and how we spent it </w:t>
      </w:r>
    </w:p>
    <w:p w14:paraId="349234C2" w14:textId="77777777" w:rsidR="00AA1324" w:rsidRPr="00171158" w:rsidRDefault="00AA1324" w:rsidP="1DBFBDCC">
      <w:pPr>
        <w:spacing w:before="0" w:beforeAutospacing="0" w:after="120" w:afterAutospacing="0"/>
        <w:ind w:left="720"/>
        <w:rPr>
          <w:rFonts w:ascii="Rubik" w:hAnsi="Rubik" w:cs="Rubik"/>
          <w:color w:val="253B61"/>
        </w:rPr>
      </w:pPr>
      <w:r w:rsidRPr="00171158">
        <w:rPr>
          <w:rFonts w:ascii="Rubik" w:hAnsi="Rubik" w:cs="Rubik"/>
          <w:color w:val="253B61"/>
        </w:rPr>
        <w:t>• What our priorities are and how we are doing</w:t>
      </w:r>
    </w:p>
    <w:p w14:paraId="67FEB8F0" w14:textId="77777777" w:rsidR="00AA1324" w:rsidRPr="00171158" w:rsidRDefault="00AA1324" w:rsidP="1DBFBDCC">
      <w:pPr>
        <w:spacing w:before="0" w:beforeAutospacing="0" w:after="120" w:afterAutospacing="0"/>
        <w:ind w:left="720"/>
        <w:rPr>
          <w:rFonts w:ascii="Rubik" w:hAnsi="Rubik" w:cs="Rubik"/>
          <w:color w:val="253B61"/>
        </w:rPr>
      </w:pPr>
      <w:r w:rsidRPr="00171158">
        <w:rPr>
          <w:rFonts w:ascii="Rubik" w:hAnsi="Rubik" w:cs="Rubik"/>
          <w:color w:val="253B61"/>
        </w:rPr>
        <w:t xml:space="preserve"> • How we make decisions</w:t>
      </w:r>
    </w:p>
    <w:p w14:paraId="3209AD73" w14:textId="77777777" w:rsidR="00AA1324" w:rsidRPr="00171158" w:rsidRDefault="00AA1324" w:rsidP="1DBFBDCC">
      <w:pPr>
        <w:spacing w:before="0" w:beforeAutospacing="0" w:after="120" w:afterAutospacing="0"/>
        <w:ind w:left="720"/>
        <w:rPr>
          <w:rFonts w:ascii="Rubik" w:hAnsi="Rubik" w:cs="Rubik"/>
          <w:color w:val="253B61"/>
        </w:rPr>
      </w:pPr>
      <w:r w:rsidRPr="00171158">
        <w:rPr>
          <w:rFonts w:ascii="Rubik" w:hAnsi="Rubik" w:cs="Rubik"/>
          <w:color w:val="253B61"/>
        </w:rPr>
        <w:t xml:space="preserve"> • Our policies and procedures</w:t>
      </w:r>
    </w:p>
    <w:p w14:paraId="384FDB96" w14:textId="77777777" w:rsidR="00AA1324" w:rsidRPr="00171158" w:rsidRDefault="00AA1324" w:rsidP="1DBFBDCC">
      <w:pPr>
        <w:spacing w:before="0" w:beforeAutospacing="0" w:after="120" w:afterAutospacing="0"/>
        <w:ind w:left="720"/>
        <w:rPr>
          <w:rFonts w:ascii="Rubik" w:hAnsi="Rubik" w:cs="Rubik"/>
          <w:color w:val="253B61"/>
        </w:rPr>
      </w:pPr>
      <w:r w:rsidRPr="00171158">
        <w:rPr>
          <w:rFonts w:ascii="Rubik" w:hAnsi="Rubik" w:cs="Rubik"/>
          <w:color w:val="253B61"/>
        </w:rPr>
        <w:t xml:space="preserve"> • Lists and registers </w:t>
      </w:r>
    </w:p>
    <w:p w14:paraId="6AA7D5EB" w14:textId="77777777" w:rsidR="00AA1324" w:rsidRPr="00171158" w:rsidRDefault="00AA1324" w:rsidP="1DBFBDCC">
      <w:pPr>
        <w:spacing w:before="0" w:beforeAutospacing="0" w:after="120" w:afterAutospacing="0"/>
        <w:ind w:left="720"/>
        <w:rPr>
          <w:rFonts w:ascii="Rubik" w:hAnsi="Rubik" w:cs="Rubik"/>
          <w:color w:val="253B61"/>
        </w:rPr>
      </w:pPr>
      <w:r w:rsidRPr="00171158">
        <w:rPr>
          <w:rFonts w:ascii="Rubik" w:hAnsi="Rubik" w:cs="Rubik"/>
          <w:color w:val="253B61"/>
        </w:rPr>
        <w:t>• The services we offer</w:t>
      </w:r>
    </w:p>
    <w:p w14:paraId="43C67CB3" w14:textId="0976CED1" w:rsidR="00AA1324" w:rsidRPr="00171158" w:rsidRDefault="00AA1324" w:rsidP="1DBFBDCC">
      <w:pPr>
        <w:spacing w:after="120" w:afterAutospacing="0"/>
        <w:rPr>
          <w:rFonts w:ascii="Rubik" w:hAnsi="Rubik" w:cs="Rubik"/>
          <w:b/>
          <w:bCs/>
          <w:color w:val="253B61"/>
          <w:sz w:val="24"/>
          <w:szCs w:val="24"/>
        </w:rPr>
      </w:pPr>
      <w:r w:rsidRPr="00171158">
        <w:rPr>
          <w:rFonts w:ascii="Rubik" w:hAnsi="Rubik" w:cs="Rubik"/>
          <w:color w:val="253B61"/>
        </w:rPr>
        <w:t>The Publication Scheme will be made available on the organisation’s website</w:t>
      </w:r>
      <w:r w:rsidR="00E03667">
        <w:rPr>
          <w:rFonts w:ascii="Rubik" w:hAnsi="Rubik" w:cs="Rubik"/>
          <w:color w:val="253B61"/>
        </w:rPr>
        <w:t xml:space="preserve"> </w:t>
      </w:r>
      <w:hyperlink r:id="rId15" w:history="1">
        <w:r w:rsidR="00E03667" w:rsidRPr="008C24F2">
          <w:rPr>
            <w:rStyle w:val="Hyperlink"/>
            <w:rFonts w:ascii="Rubik" w:hAnsi="Rubik" w:cs="Rubik"/>
          </w:rPr>
          <w:t>www.argylemedicalgroup.co.uk</w:t>
        </w:r>
      </w:hyperlink>
      <w:r w:rsidR="00E03667">
        <w:rPr>
          <w:rFonts w:ascii="Rubik" w:hAnsi="Rubik" w:cs="Rubik"/>
          <w:color w:val="253B61"/>
        </w:rPr>
        <w:t xml:space="preserve">. </w:t>
      </w:r>
      <w:r w:rsidRPr="00171158">
        <w:rPr>
          <w:rFonts w:ascii="Rubik" w:hAnsi="Rubik" w:cs="Rubik"/>
          <w:color w:val="253B61"/>
        </w:rPr>
        <w:t xml:space="preserve">The </w:t>
      </w:r>
      <w:r w:rsidR="00E03667">
        <w:rPr>
          <w:rFonts w:ascii="Rubik" w:hAnsi="Rubik" w:cs="Rubik"/>
          <w:color w:val="253B61"/>
        </w:rPr>
        <w:t>IG Lead will</w:t>
      </w:r>
      <w:r w:rsidRPr="00171158">
        <w:rPr>
          <w:rFonts w:ascii="Rubik" w:hAnsi="Rubik" w:cs="Rubik"/>
          <w:color w:val="253B61"/>
        </w:rPr>
        <w:t xml:space="preserve"> review the publication scheme </w:t>
      </w:r>
      <w:r w:rsidR="00E03667">
        <w:rPr>
          <w:rFonts w:ascii="Rubik" w:hAnsi="Rubik" w:cs="Rubik"/>
          <w:color w:val="253B61"/>
        </w:rPr>
        <w:t>annually a</w:t>
      </w:r>
      <w:r w:rsidRPr="00171158">
        <w:rPr>
          <w:rFonts w:ascii="Rubik" w:hAnsi="Rubik" w:cs="Rubik"/>
          <w:color w:val="253B61"/>
        </w:rPr>
        <w:t>nd update</w:t>
      </w:r>
      <w:r w:rsidR="00E03667">
        <w:rPr>
          <w:rFonts w:ascii="Rubik" w:hAnsi="Rubik" w:cs="Rubik"/>
          <w:color w:val="253B61"/>
        </w:rPr>
        <w:t xml:space="preserve"> </w:t>
      </w:r>
      <w:r w:rsidRPr="00171158">
        <w:rPr>
          <w:rFonts w:ascii="Rubik" w:hAnsi="Rubik" w:cs="Rubik"/>
          <w:color w:val="253B61"/>
        </w:rPr>
        <w:t>when required.</w:t>
      </w:r>
    </w:p>
    <w:p w14:paraId="30AAC12F" w14:textId="77777777" w:rsidR="00AA1324" w:rsidRPr="00171158" w:rsidRDefault="00AA1324" w:rsidP="007C45DB">
      <w:pPr>
        <w:pStyle w:val="Heading1"/>
      </w:pPr>
      <w:bookmarkStart w:id="37" w:name="_Toc224130485"/>
      <w:r w:rsidRPr="00171158">
        <w:t>7. Review</w:t>
      </w:r>
      <w:bookmarkEnd w:id="37"/>
    </w:p>
    <w:p w14:paraId="21C1FFF8" w14:textId="16ED7621"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This procedure will be reviewed every </w:t>
      </w:r>
      <w:r w:rsidR="00E03667">
        <w:rPr>
          <w:rFonts w:ascii="Rubik" w:hAnsi="Rubik" w:cs="Rubik"/>
          <w:color w:val="253B61"/>
        </w:rPr>
        <w:t>year</w:t>
      </w:r>
      <w:r w:rsidRPr="00171158">
        <w:rPr>
          <w:rFonts w:ascii="Rubik" w:hAnsi="Rubik" w:cs="Rubik"/>
          <w:color w:val="253B61"/>
        </w:rPr>
        <w:t xml:space="preserve"> or more frequently where the contents are affected by major internal or external changes such as: </w:t>
      </w:r>
    </w:p>
    <w:p w14:paraId="2A85830B" w14:textId="77777777" w:rsidR="00AA1324" w:rsidRPr="00171158" w:rsidRDefault="00AA1324" w:rsidP="1DBFBDCC">
      <w:pPr>
        <w:pStyle w:val="ListParagraph"/>
        <w:numPr>
          <w:ilvl w:val="0"/>
          <w:numId w:val="1"/>
        </w:numPr>
        <w:spacing w:after="120" w:afterAutospacing="0"/>
        <w:rPr>
          <w:rFonts w:ascii="Rubik" w:hAnsi="Rubik" w:cs="Rubik"/>
          <w:color w:val="253B61"/>
        </w:rPr>
      </w:pPr>
      <w:r w:rsidRPr="00171158">
        <w:rPr>
          <w:rFonts w:ascii="Rubik" w:hAnsi="Rubik" w:cs="Rubik"/>
          <w:color w:val="253B61"/>
        </w:rPr>
        <w:t xml:space="preserve">Changes in </w:t>
      </w:r>
      <w:proofErr w:type="gramStart"/>
      <w:r w:rsidRPr="00171158">
        <w:rPr>
          <w:rFonts w:ascii="Rubik" w:hAnsi="Rubik" w:cs="Rubik"/>
          <w:color w:val="253B61"/>
        </w:rPr>
        <w:t>legislation;</w:t>
      </w:r>
      <w:proofErr w:type="gramEnd"/>
    </w:p>
    <w:p w14:paraId="5F010E71" w14:textId="77777777" w:rsidR="00AA1324" w:rsidRPr="00171158" w:rsidRDefault="00AA1324" w:rsidP="1DBFBDCC">
      <w:pPr>
        <w:pStyle w:val="ListParagraph"/>
        <w:numPr>
          <w:ilvl w:val="0"/>
          <w:numId w:val="1"/>
        </w:numPr>
        <w:spacing w:after="120" w:afterAutospacing="0"/>
        <w:rPr>
          <w:rFonts w:ascii="Rubik" w:hAnsi="Rubik" w:cs="Rubik"/>
          <w:color w:val="253B61"/>
        </w:rPr>
      </w:pPr>
      <w:r w:rsidRPr="00171158">
        <w:rPr>
          <w:rFonts w:ascii="Rubik" w:hAnsi="Rubik" w:cs="Rubik"/>
          <w:color w:val="253B61"/>
        </w:rPr>
        <w:t>Organisational change or change in system/technology; or</w:t>
      </w:r>
    </w:p>
    <w:p w14:paraId="4693EFE6" w14:textId="77777777" w:rsidR="00AA1324" w:rsidRPr="00171158" w:rsidRDefault="00AA1324" w:rsidP="1DBFBDCC">
      <w:pPr>
        <w:pStyle w:val="ListParagraph"/>
        <w:numPr>
          <w:ilvl w:val="0"/>
          <w:numId w:val="1"/>
        </w:numPr>
        <w:spacing w:after="120" w:afterAutospacing="0"/>
        <w:rPr>
          <w:rFonts w:ascii="Rubik" w:hAnsi="Rubik" w:cs="Rubik"/>
          <w:color w:val="253B61"/>
        </w:rPr>
      </w:pPr>
      <w:r w:rsidRPr="00171158">
        <w:rPr>
          <w:rFonts w:ascii="Rubik" w:hAnsi="Rubik" w:cs="Rubik"/>
          <w:color w:val="253B61"/>
        </w:rPr>
        <w:t>Changing methodology.</w:t>
      </w:r>
    </w:p>
    <w:p w14:paraId="64863E3F" w14:textId="0FB65DC7" w:rsidR="00AA1324" w:rsidRPr="00171158" w:rsidRDefault="00493A04" w:rsidP="00AA1324">
      <w:pPr>
        <w:rPr>
          <w:rFonts w:ascii="Rubik" w:hAnsi="Rubik" w:cs="Rubik"/>
          <w:color w:val="253B61"/>
        </w:rPr>
      </w:pPr>
      <w:r w:rsidRPr="00171158">
        <w:rPr>
          <w:rFonts w:ascii="Rubik" w:hAnsi="Rubik" w:cs="Rubik"/>
          <w:color w:val="253B61"/>
        </w:rPr>
        <w:br w:type="page"/>
      </w:r>
    </w:p>
    <w:p w14:paraId="0D0ED7EC" w14:textId="77777777" w:rsidR="00AA1324" w:rsidRPr="00171158" w:rsidRDefault="00AA1324" w:rsidP="007C45DB">
      <w:pPr>
        <w:pStyle w:val="Heading1"/>
      </w:pPr>
      <w:bookmarkStart w:id="38" w:name="_Toc224130486"/>
      <w:r w:rsidRPr="00171158">
        <w:lastRenderedPageBreak/>
        <w:t>Annex A – Freedom of Information Exemptions</w:t>
      </w:r>
      <w:bookmarkEnd w:id="38"/>
    </w:p>
    <w:p w14:paraId="0D7E34D5" w14:textId="77777777" w:rsidR="00AA1324" w:rsidRPr="00171158" w:rsidRDefault="00AA1324" w:rsidP="007C45DB">
      <w:pPr>
        <w:pStyle w:val="Heading2"/>
        <w:numPr>
          <w:ilvl w:val="0"/>
          <w:numId w:val="0"/>
        </w:numPr>
        <w:ind w:left="360"/>
      </w:pPr>
      <w:bookmarkStart w:id="39" w:name="_Toc224130487"/>
      <w:r w:rsidRPr="00171158">
        <w:t>Absolute exemptions</w:t>
      </w:r>
      <w:bookmarkEnd w:id="39"/>
    </w:p>
    <w:p w14:paraId="3DBD766B"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Absolute exemptions allow the organisation to withhold information from disclosure, without consideration of the public interest. The absolute exemptions include:</w:t>
      </w:r>
    </w:p>
    <w:p w14:paraId="2874B2B3"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21 - Information already reasonably accessible:</w:t>
      </w:r>
    </w:p>
    <w:p w14:paraId="1FF84FFA"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The organisation can apply this exemption when the requested information has already been made available in the public domain. Your duty to advise and assist would be to direct the requester to where they can find this information. An example of where this exemption may be applied would be the information already being published as part of your publication scheme.</w:t>
      </w:r>
    </w:p>
    <w:p w14:paraId="1420E039"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23 - Information supplied by, or relating to, bodies dealing with security matters:</w:t>
      </w:r>
    </w:p>
    <w:p w14:paraId="4C46993D"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Section 23 applies to information that is received from any of the listed security bodies, for example the security service.</w:t>
      </w:r>
    </w:p>
    <w:p w14:paraId="4B718B48"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32 – Court records:</w:t>
      </w:r>
    </w:p>
    <w:p w14:paraId="5DF925FE"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To utilise these exemptions the requested information must have been created and used as part of legal proceedings including inquiries, inquests, and arbitration.</w:t>
      </w:r>
    </w:p>
    <w:p w14:paraId="3A335D23"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34 – Parliamentary privilege:</w:t>
      </w:r>
    </w:p>
    <w:p w14:paraId="5F88D5B7"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This exemption is used to avoid the disclosure of information that would infringe upon parliamentary privilege.</w:t>
      </w:r>
    </w:p>
    <w:p w14:paraId="1F7BAAB2"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shd w:val="clear" w:color="auto" w:fill="FFFFFF"/>
        </w:rPr>
        <w:t xml:space="preserve">Section 36 - </w:t>
      </w:r>
      <w:hyperlink r:id="rId16" w:history="1">
        <w:r w:rsidRPr="00171158">
          <w:rPr>
            <w:rStyle w:val="Hyperlink"/>
            <w:rFonts w:ascii="Rubik" w:hAnsi="Rubik" w:cs="Rubik"/>
            <w:b/>
            <w:color w:val="253B61"/>
            <w:u w:val="none"/>
            <w:shd w:val="clear" w:color="auto" w:fill="FFFFFF"/>
          </w:rPr>
          <w:t>Prejudice to effective conduct of public affairs:</w:t>
        </w:r>
      </w:hyperlink>
      <w:r w:rsidRPr="00171158">
        <w:rPr>
          <w:rFonts w:ascii="Rubik" w:hAnsi="Rubik" w:cs="Rubik"/>
          <w:b/>
          <w:bCs/>
          <w:color w:val="253B61"/>
        </w:rPr>
        <w:t xml:space="preserve"> </w:t>
      </w:r>
    </w:p>
    <w:p w14:paraId="665020A4"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shd w:val="clear" w:color="auto" w:fill="FFFFFF"/>
        </w:rPr>
        <w:t>Section 36 is </w:t>
      </w:r>
      <w:r w:rsidRPr="00171158">
        <w:rPr>
          <w:rFonts w:ascii="Rubik" w:hAnsi="Rubik" w:cs="Rubik"/>
          <w:color w:val="253B61"/>
        </w:rPr>
        <w:t>an absolute exemption in part but does have qualified considerations</w:t>
      </w:r>
      <w:r w:rsidRPr="00171158">
        <w:rPr>
          <w:rFonts w:ascii="Rubik" w:hAnsi="Rubik" w:cs="Rubik"/>
          <w:color w:val="253B61"/>
          <w:shd w:val="clear" w:color="auto" w:fill="FFFFFF"/>
        </w:rPr>
        <w:t xml:space="preserve">, which means that, even when the qualified person has given their opinion that the exemption is engaged, the </w:t>
      </w:r>
      <w:r w:rsidRPr="00171158">
        <w:rPr>
          <w:rFonts w:ascii="Rubik" w:hAnsi="Rubik" w:cs="Rubik"/>
          <w:color w:val="253B61"/>
        </w:rPr>
        <w:t>organisation</w:t>
      </w:r>
      <w:r w:rsidRPr="00171158">
        <w:rPr>
          <w:rFonts w:ascii="Rubik" w:hAnsi="Rubik" w:cs="Rubik"/>
          <w:color w:val="253B61"/>
          <w:shd w:val="clear" w:color="auto" w:fill="FFFFFF"/>
        </w:rPr>
        <w:t xml:space="preserve"> must still carry out a public interest test</w:t>
      </w:r>
    </w:p>
    <w:p w14:paraId="2B011357"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40(1) – Personal information of the requestor:</w:t>
      </w:r>
    </w:p>
    <w:p w14:paraId="634FA953"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This exemption should be used if the requestor is asking for access to, or copies of, their own personal information. This request should instead be treated as a subject access request and processed in line with the UK General Data Protection Regulation (UK GDPR) and Data Protection Act (DPA) 2018. If the information requested is a mixture of the individual’s personal information and non-personal information you will need to deal with the request in line with both FOI Act and the UK GDPR and DPA.</w:t>
      </w:r>
    </w:p>
    <w:p w14:paraId="021FC241"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40(2) – Personal information:</w:t>
      </w:r>
    </w:p>
    <w:p w14:paraId="176BD6B6"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 xml:space="preserve">This exemption should be used if the requested information is the personal data of a third party (anyone other than the requester) and </w:t>
      </w:r>
      <w:proofErr w:type="gramStart"/>
      <w:r w:rsidRPr="00171158">
        <w:rPr>
          <w:rFonts w:ascii="Rubik" w:hAnsi="Rubik" w:cs="Rubik"/>
          <w:color w:val="253B61"/>
        </w:rPr>
        <w:t>where</w:t>
      </w:r>
      <w:proofErr w:type="gramEnd"/>
      <w:r w:rsidRPr="00171158">
        <w:rPr>
          <w:rFonts w:ascii="Rubik" w:hAnsi="Rubik" w:cs="Rubik"/>
          <w:color w:val="253B61"/>
        </w:rPr>
        <w:t xml:space="preserve"> complying with the request for information would breach the UK GDPR and DPA. </w:t>
      </w:r>
    </w:p>
    <w:p w14:paraId="1F18C635"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41 – Information provided in confidence:</w:t>
      </w:r>
    </w:p>
    <w:p w14:paraId="1478B1AE"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 xml:space="preserve">This exemption can be applied if information obtained from any other person if its disclosure would constitute a breach of confidence actionable by that or any other person. This exemption is often used when information relating to deceased individuals is requested, where data protection legislation does not apply. </w:t>
      </w:r>
    </w:p>
    <w:p w14:paraId="75450C31"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44 – Prohibition on disclosure:</w:t>
      </w:r>
    </w:p>
    <w:p w14:paraId="74F1A58A"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This is exemption is used where complying with the request:</w:t>
      </w:r>
    </w:p>
    <w:p w14:paraId="75689524" w14:textId="77777777" w:rsidR="00AA1324" w:rsidRPr="00171158" w:rsidRDefault="00AA1324" w:rsidP="0A0E68C0">
      <w:pPr>
        <w:pStyle w:val="ListParagraph"/>
        <w:numPr>
          <w:ilvl w:val="0"/>
          <w:numId w:val="28"/>
        </w:numPr>
        <w:spacing w:before="20" w:beforeAutospacing="0" w:after="120" w:afterAutospacing="0"/>
        <w:rPr>
          <w:rFonts w:ascii="Rubik" w:hAnsi="Rubik" w:cs="Rubik"/>
          <w:color w:val="253B61"/>
        </w:rPr>
      </w:pPr>
      <w:r w:rsidRPr="00171158">
        <w:rPr>
          <w:rFonts w:ascii="Rubik" w:hAnsi="Rubik" w:cs="Rubik"/>
          <w:color w:val="253B61"/>
        </w:rPr>
        <w:t>Is not allowed under law.</w:t>
      </w:r>
    </w:p>
    <w:p w14:paraId="482E8994" w14:textId="77777777" w:rsidR="00AA1324" w:rsidRPr="00171158" w:rsidRDefault="00AA1324" w:rsidP="0A0E68C0">
      <w:pPr>
        <w:pStyle w:val="ListParagraph"/>
        <w:numPr>
          <w:ilvl w:val="0"/>
          <w:numId w:val="28"/>
        </w:numPr>
        <w:spacing w:before="20" w:beforeAutospacing="0" w:after="120" w:afterAutospacing="0"/>
        <w:rPr>
          <w:rFonts w:ascii="Rubik" w:hAnsi="Rubik" w:cs="Rubik"/>
          <w:color w:val="253B61"/>
        </w:rPr>
      </w:pPr>
      <w:r w:rsidRPr="00171158">
        <w:rPr>
          <w:rFonts w:ascii="Rubik" w:hAnsi="Rubik" w:cs="Rubik"/>
          <w:color w:val="253B61"/>
        </w:rPr>
        <w:t>Would be contrary to an obligation under UK law.</w:t>
      </w:r>
    </w:p>
    <w:p w14:paraId="3C60C437" w14:textId="77777777" w:rsidR="00AA1324" w:rsidRPr="00171158" w:rsidRDefault="00AA1324" w:rsidP="0A0E68C0">
      <w:pPr>
        <w:pStyle w:val="ListParagraph"/>
        <w:numPr>
          <w:ilvl w:val="0"/>
          <w:numId w:val="28"/>
        </w:numPr>
        <w:spacing w:before="20" w:beforeAutospacing="0" w:after="120" w:afterAutospacing="0"/>
        <w:rPr>
          <w:rFonts w:ascii="Rubik" w:hAnsi="Rubik" w:cs="Rubik"/>
          <w:color w:val="253B61"/>
        </w:rPr>
      </w:pPr>
      <w:r w:rsidRPr="00171158">
        <w:rPr>
          <w:rFonts w:ascii="Rubik" w:hAnsi="Rubik" w:cs="Rubik"/>
          <w:color w:val="253B61"/>
        </w:rPr>
        <w:t>Would constitute contempt of court.</w:t>
      </w:r>
    </w:p>
    <w:p w14:paraId="7E8483B1" w14:textId="7B8046D6" w:rsidR="25BC5CC2" w:rsidRPr="00171158" w:rsidRDefault="25BC5CC2" w:rsidP="25BC5CC2">
      <w:pPr>
        <w:pStyle w:val="ListParagraph"/>
        <w:spacing w:before="20" w:beforeAutospacing="0" w:after="120" w:afterAutospacing="0"/>
        <w:rPr>
          <w:rFonts w:ascii="Rubik" w:hAnsi="Rubik" w:cs="Rubik"/>
          <w:color w:val="253B61"/>
        </w:rPr>
      </w:pPr>
    </w:p>
    <w:p w14:paraId="67543676" w14:textId="77777777" w:rsidR="00AA1324" w:rsidRPr="00171158" w:rsidRDefault="00AA1324" w:rsidP="007C45DB">
      <w:pPr>
        <w:pStyle w:val="Heading2"/>
        <w:numPr>
          <w:ilvl w:val="0"/>
          <w:numId w:val="0"/>
        </w:numPr>
        <w:ind w:left="360"/>
      </w:pPr>
      <w:bookmarkStart w:id="40" w:name="_Toc224130488"/>
      <w:r w:rsidRPr="00171158">
        <w:lastRenderedPageBreak/>
        <w:t>Qualified exemptions</w:t>
      </w:r>
      <w:bookmarkEnd w:id="40"/>
    </w:p>
    <w:p w14:paraId="24BA4DD2"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Qualified exemptions require your organisation to complete a public interest test, which must consider whether withholding information outweighs the public interest in disclosing it. These qualified exemptions include:</w:t>
      </w:r>
    </w:p>
    <w:p w14:paraId="1A483BEC"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22 – Information intended for future publication:</w:t>
      </w:r>
    </w:p>
    <w:p w14:paraId="602F7CE9"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 xml:space="preserve">The organisation can apply this to information being prepared to publish </w:t>
      </w:r>
      <w:proofErr w:type="gramStart"/>
      <w:r w:rsidRPr="00171158">
        <w:rPr>
          <w:rFonts w:ascii="Rubik" w:hAnsi="Rubik" w:cs="Rubik"/>
          <w:color w:val="253B61"/>
        </w:rPr>
        <w:t>in the near future</w:t>
      </w:r>
      <w:proofErr w:type="gramEnd"/>
      <w:r w:rsidRPr="00171158">
        <w:rPr>
          <w:rFonts w:ascii="Rubik" w:hAnsi="Rubik" w:cs="Rubik"/>
          <w:color w:val="253B61"/>
        </w:rPr>
        <w:t>.</w:t>
      </w:r>
    </w:p>
    <w:p w14:paraId="18D7EEFB"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22a – Research information:</w:t>
      </w:r>
    </w:p>
    <w:p w14:paraId="2EF7E216"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The organisation may apply this exemption where information is held on an ongoing programme of research and there is the intention for someone (individual or organisation) to publish a report on the research and the disclosure of the information would or would likely prejudice the research programme.</w:t>
      </w:r>
    </w:p>
    <w:p w14:paraId="76A923BB"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Sections 24 – Security Bodies and National Security:</w:t>
      </w:r>
    </w:p>
    <w:p w14:paraId="51CCB08C"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Section 24 applies if the information is “required for the purposes of safeguarding national security.”</w:t>
      </w:r>
    </w:p>
    <w:p w14:paraId="349DCF30"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Sections 26 to 29 – Defence and Relations:</w:t>
      </w:r>
    </w:p>
    <w:p w14:paraId="25224698"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This set of exemptions are available if complying with the request would prejudice or be likely to prejudice any of the following:</w:t>
      </w:r>
    </w:p>
    <w:p w14:paraId="2EFB0D1C" w14:textId="77777777" w:rsidR="00AA1324" w:rsidRPr="00171158" w:rsidRDefault="00AA1324" w:rsidP="0A0E68C0">
      <w:pPr>
        <w:pStyle w:val="ListParagraph"/>
        <w:numPr>
          <w:ilvl w:val="0"/>
          <w:numId w:val="29"/>
        </w:numPr>
        <w:spacing w:before="20" w:beforeAutospacing="0" w:after="120" w:afterAutospacing="0"/>
        <w:rPr>
          <w:rFonts w:ascii="Rubik" w:hAnsi="Rubik" w:cs="Rubik"/>
          <w:color w:val="253B61"/>
        </w:rPr>
      </w:pPr>
      <w:r w:rsidRPr="00171158">
        <w:rPr>
          <w:rFonts w:ascii="Rubik" w:hAnsi="Rubik" w:cs="Rubik"/>
          <w:color w:val="253B61"/>
        </w:rPr>
        <w:t>Defence (Section 26)</w:t>
      </w:r>
    </w:p>
    <w:p w14:paraId="7032C77B" w14:textId="77777777" w:rsidR="00AA1324" w:rsidRPr="00171158" w:rsidRDefault="00AA1324" w:rsidP="0A0E68C0">
      <w:pPr>
        <w:pStyle w:val="ListParagraph"/>
        <w:numPr>
          <w:ilvl w:val="0"/>
          <w:numId w:val="29"/>
        </w:numPr>
        <w:spacing w:before="20" w:beforeAutospacing="0" w:after="120" w:afterAutospacing="0"/>
        <w:rPr>
          <w:rFonts w:ascii="Rubik" w:hAnsi="Rubik" w:cs="Rubik"/>
          <w:color w:val="253B61"/>
        </w:rPr>
      </w:pPr>
      <w:r w:rsidRPr="00171158">
        <w:rPr>
          <w:rFonts w:ascii="Rubik" w:hAnsi="Rubik" w:cs="Rubik"/>
          <w:color w:val="253B61"/>
        </w:rPr>
        <w:t>Effectiveness of armed forces (Section 26)</w:t>
      </w:r>
    </w:p>
    <w:p w14:paraId="671BB17E" w14:textId="77777777" w:rsidR="00AA1324" w:rsidRPr="00171158" w:rsidRDefault="00AA1324" w:rsidP="0A0E68C0">
      <w:pPr>
        <w:pStyle w:val="ListParagraph"/>
        <w:numPr>
          <w:ilvl w:val="0"/>
          <w:numId w:val="29"/>
        </w:numPr>
        <w:spacing w:before="20" w:beforeAutospacing="0" w:after="120" w:afterAutospacing="0"/>
        <w:rPr>
          <w:rFonts w:ascii="Rubik" w:hAnsi="Rubik" w:cs="Rubik"/>
          <w:color w:val="253B61"/>
        </w:rPr>
      </w:pPr>
      <w:r w:rsidRPr="00171158">
        <w:rPr>
          <w:rFonts w:ascii="Rubik" w:hAnsi="Rubik" w:cs="Rubik"/>
          <w:color w:val="253B61"/>
        </w:rPr>
        <w:t>International relations (Section 27)</w:t>
      </w:r>
    </w:p>
    <w:p w14:paraId="2C7519B3" w14:textId="77777777" w:rsidR="00AA1324" w:rsidRPr="00171158" w:rsidRDefault="00AA1324" w:rsidP="0A0E68C0">
      <w:pPr>
        <w:pStyle w:val="ListParagraph"/>
        <w:numPr>
          <w:ilvl w:val="0"/>
          <w:numId w:val="29"/>
        </w:numPr>
        <w:spacing w:before="20" w:beforeAutospacing="0" w:after="120" w:afterAutospacing="0"/>
        <w:rPr>
          <w:rFonts w:ascii="Rubik" w:hAnsi="Rubik" w:cs="Rubik"/>
          <w:color w:val="253B61"/>
        </w:rPr>
      </w:pPr>
      <w:r w:rsidRPr="00171158">
        <w:rPr>
          <w:rFonts w:ascii="Rubik" w:hAnsi="Rubik" w:cs="Rubik"/>
          <w:color w:val="253B61"/>
        </w:rPr>
        <w:t xml:space="preserve">Relations between the UK Government, Scottish Executive, Welsh Assembly, and the Northern Irish Executive (Section 28) </w:t>
      </w:r>
    </w:p>
    <w:p w14:paraId="2367A339" w14:textId="77777777" w:rsidR="00AA1324" w:rsidRPr="00171158" w:rsidRDefault="00AA1324" w:rsidP="0A0E68C0">
      <w:pPr>
        <w:pStyle w:val="ListParagraph"/>
        <w:numPr>
          <w:ilvl w:val="0"/>
          <w:numId w:val="29"/>
        </w:numPr>
        <w:spacing w:before="20" w:beforeAutospacing="0" w:after="120" w:afterAutospacing="0"/>
        <w:rPr>
          <w:rFonts w:ascii="Rubik" w:hAnsi="Rubik" w:cs="Rubik"/>
          <w:color w:val="253B61"/>
        </w:rPr>
      </w:pPr>
      <w:r w:rsidRPr="00171158">
        <w:rPr>
          <w:rFonts w:ascii="Rubik" w:hAnsi="Rubik" w:cs="Rubik"/>
          <w:color w:val="253B61"/>
        </w:rPr>
        <w:t>The Economy (Section 29)</w:t>
      </w:r>
    </w:p>
    <w:p w14:paraId="59ED8837" w14:textId="77777777" w:rsidR="00AA1324" w:rsidRPr="00171158" w:rsidRDefault="00AA1324" w:rsidP="0A0E68C0">
      <w:pPr>
        <w:pStyle w:val="ListParagraph"/>
        <w:numPr>
          <w:ilvl w:val="0"/>
          <w:numId w:val="29"/>
        </w:numPr>
        <w:spacing w:before="20" w:beforeAutospacing="0" w:after="120" w:afterAutospacing="0"/>
        <w:rPr>
          <w:rFonts w:ascii="Rubik" w:hAnsi="Rubik" w:cs="Rubik"/>
          <w:color w:val="253B61"/>
        </w:rPr>
      </w:pPr>
      <w:r w:rsidRPr="00171158">
        <w:rPr>
          <w:rFonts w:ascii="Rubik" w:hAnsi="Rubik" w:cs="Rubik"/>
          <w:color w:val="253B61"/>
        </w:rPr>
        <w:t>Financial interest of the UK administrations (Section 29)</w:t>
      </w:r>
    </w:p>
    <w:p w14:paraId="088F7CE7"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Sections 30 and 31 – Investigations and Law Enforcement</w:t>
      </w:r>
    </w:p>
    <w:p w14:paraId="03B75202"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 xml:space="preserve">Section 30 applies to information for the purposes of criminal investigations and certain types of investigations </w:t>
      </w:r>
    </w:p>
    <w:p w14:paraId="2AD1D106"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Section 31 applies only to information that does not fall within section 30. Where release of information would likely prejudice law enforcement purposes for example preventing crime, administering justice and tax collection.  It also protects certain regulatory functions for example relating to health and safety.</w:t>
      </w:r>
    </w:p>
    <w:p w14:paraId="4E4C92CB"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33 - Prejudice to audit functions:</w:t>
      </w:r>
    </w:p>
    <w:p w14:paraId="6AA857C0"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This exemption is only available for use by public bodies with audit functions.</w:t>
      </w:r>
    </w:p>
    <w:p w14:paraId="573B5111"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35 and 36 – Government Policy and Prejudice to the effective conduct of public affairs:</w:t>
      </w:r>
    </w:p>
    <w:p w14:paraId="19A1DDBB"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 xml:space="preserve">Section 35 can only be claimed by government departments or the Welsh Assembly Government. </w:t>
      </w:r>
    </w:p>
    <w:p w14:paraId="71C41FA1"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 xml:space="preserve">Section 36 relates to information that would or would be likely to “effect conduct of public affairs” This exemption is used where there would be harm from disclosure that would have an impact on public affairs. If applicable this section requires that a “qualified persons” opinion must be sort and documented. The qualified person’s opinion must be reasonable.  This will be in addition to the public interest test. </w:t>
      </w:r>
    </w:p>
    <w:p w14:paraId="0BFE5562"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37 – Communications with the Royal Family and the granting of Honour:</w:t>
      </w:r>
    </w:p>
    <w:p w14:paraId="371E47AD" w14:textId="2F89C7FF"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This exemption will not apply to primary care services.</w:t>
      </w:r>
    </w:p>
    <w:p w14:paraId="1FB07EBB"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38 – Endangering health and safety:</w:t>
      </w:r>
    </w:p>
    <w:p w14:paraId="50FA9F54"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This exemption can be applied where release of the information would or would likely endanger someone’s physical or mental health or safety.</w:t>
      </w:r>
    </w:p>
    <w:p w14:paraId="39BF39B9"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39 – Environmental Information</w:t>
      </w:r>
    </w:p>
    <w:p w14:paraId="781650BC"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lastRenderedPageBreak/>
        <w:t>This exemption can be applied where information requested under FOI Act would fall under the Environmental Information Regulation.</w:t>
      </w:r>
    </w:p>
    <w:p w14:paraId="0B243708"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42 - Legal Professional Privilege:</w:t>
      </w:r>
    </w:p>
    <w:p w14:paraId="075FF5C4"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color w:val="253B61"/>
        </w:rPr>
        <w:t>Legal professional privilege protects information shared between a legal professional and their client for the purpose of obtaining legal advice for proposed legal action.</w:t>
      </w:r>
    </w:p>
    <w:p w14:paraId="07641B1A"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43 - Trade secrets and prejudice to commercial interests:</w:t>
      </w:r>
    </w:p>
    <w:p w14:paraId="26705F15"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This exemption covers trade secrets for example for a “special” recipe of a branded product or where complying would prejudice or be likely to prejudice someone’s commercial interest.</w:t>
      </w:r>
    </w:p>
    <w:p w14:paraId="279F7DB8" w14:textId="1D45304B" w:rsidR="00AA1324" w:rsidRPr="00171158" w:rsidRDefault="00493A04" w:rsidP="00AA1324">
      <w:pPr>
        <w:rPr>
          <w:rFonts w:ascii="Rubik" w:hAnsi="Rubik" w:cs="Rubik"/>
          <w:color w:val="253B61"/>
        </w:rPr>
      </w:pPr>
      <w:r w:rsidRPr="00171158">
        <w:rPr>
          <w:rFonts w:ascii="Rubik" w:hAnsi="Rubik" w:cs="Rubik"/>
          <w:color w:val="253B61"/>
        </w:rPr>
        <w:br w:type="page"/>
      </w:r>
    </w:p>
    <w:p w14:paraId="1D88F2D0" w14:textId="77777777" w:rsidR="00AA1324" w:rsidRPr="00171158" w:rsidRDefault="00AA1324" w:rsidP="007C45DB">
      <w:pPr>
        <w:pStyle w:val="Heading1"/>
      </w:pPr>
      <w:bookmarkStart w:id="41" w:name="_Toc224130489"/>
      <w:r w:rsidRPr="00171158">
        <w:lastRenderedPageBreak/>
        <w:t>Annex B – Environmental Information Regulation Exceptions</w:t>
      </w:r>
      <w:bookmarkEnd w:id="41"/>
    </w:p>
    <w:p w14:paraId="29D7E7E9" w14:textId="53CA5063"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(4) (a): the information is not held when the request is received</w:t>
      </w:r>
      <w:r w:rsidR="000762EB" w:rsidRPr="00171158">
        <w:rPr>
          <w:rFonts w:ascii="Rubik" w:hAnsi="Rubik" w:cs="Rubik"/>
          <w:b/>
          <w:bCs/>
          <w:color w:val="253B61"/>
        </w:rPr>
        <w:t>:</w:t>
      </w:r>
      <w:r w:rsidRPr="00171158">
        <w:rPr>
          <w:rFonts w:ascii="Rubik" w:hAnsi="Rubik" w:cs="Rubik"/>
          <w:b/>
          <w:bCs/>
          <w:color w:val="253B61"/>
        </w:rPr>
        <w:t> </w:t>
      </w:r>
    </w:p>
    <w:p w14:paraId="5AE8A105" w14:textId="77777777" w:rsidR="00AA1324" w:rsidRPr="00171158" w:rsidRDefault="00AA1324" w:rsidP="33482726">
      <w:pPr>
        <w:spacing w:before="20" w:beforeAutospacing="0" w:after="120" w:afterAutospacing="0"/>
        <w:rPr>
          <w:rFonts w:ascii="Rubik" w:hAnsi="Rubik" w:cs="Rubik"/>
          <w:color w:val="253B61"/>
        </w:rPr>
      </w:pPr>
      <w:r w:rsidRPr="00171158">
        <w:rPr>
          <w:rFonts w:ascii="Rubik" w:hAnsi="Rubik" w:cs="Rubik"/>
          <w:color w:val="253B61"/>
          <w:shd w:val="clear" w:color="auto" w:fill="FFFFFF"/>
        </w:rPr>
        <w:t xml:space="preserve">This exception only applies where the </w:t>
      </w:r>
      <w:r w:rsidRPr="00171158">
        <w:rPr>
          <w:rFonts w:ascii="Rubik" w:hAnsi="Rubik" w:cs="Rubik"/>
          <w:color w:val="253B61"/>
        </w:rPr>
        <w:t>organisation</w:t>
      </w:r>
      <w:r w:rsidRPr="00171158">
        <w:rPr>
          <w:rFonts w:ascii="Rubik" w:hAnsi="Rubik" w:cs="Rubik"/>
          <w:color w:val="253B61"/>
          <w:shd w:val="clear" w:color="auto" w:fill="FFFFFF"/>
        </w:rPr>
        <w:t xml:space="preserve"> does not hold the information at the time the request is received. It is a criminal offence to destroy information or alter it with the intention of preventing disclosure following receipt of the request. Information which is held for (but not physically by) us must still be released. Similarly, information which is held by the </w:t>
      </w:r>
      <w:r w:rsidRPr="00171158">
        <w:rPr>
          <w:rFonts w:ascii="Rubik" w:hAnsi="Rubik" w:cs="Rubik"/>
          <w:color w:val="253B61"/>
        </w:rPr>
        <w:t>organisation</w:t>
      </w:r>
      <w:r w:rsidRPr="00171158">
        <w:rPr>
          <w:rFonts w:ascii="Rubik" w:hAnsi="Rubik" w:cs="Rubik"/>
          <w:color w:val="253B61"/>
          <w:shd w:val="clear" w:color="auto" w:fill="FFFFFF"/>
        </w:rPr>
        <w:t xml:space="preserve"> for another organisation must also be released, unless an exception applies. Information is </w:t>
      </w:r>
      <w:r w:rsidRPr="00171158">
        <w:rPr>
          <w:rStyle w:val="Emphasis"/>
          <w:rFonts w:ascii="Rubik" w:hAnsi="Rubik" w:cs="Rubik"/>
          <w:color w:val="253B61"/>
          <w:bdr w:val="none" w:sz="0" w:space="0" w:color="auto" w:frame="1"/>
          <w:shd w:val="clear" w:color="auto" w:fill="FFFFFF"/>
        </w:rPr>
        <w:t>held</w:t>
      </w:r>
      <w:r w:rsidRPr="00171158">
        <w:rPr>
          <w:rFonts w:ascii="Rubik" w:hAnsi="Rubik" w:cs="Rubik"/>
          <w:color w:val="253B61"/>
          <w:shd w:val="clear" w:color="auto" w:fill="FFFFFF"/>
        </w:rPr>
        <w:t xml:space="preserve"> by the </w:t>
      </w:r>
      <w:r w:rsidRPr="00171158">
        <w:rPr>
          <w:rFonts w:ascii="Rubik" w:hAnsi="Rubik" w:cs="Rubik"/>
          <w:color w:val="253B61"/>
        </w:rPr>
        <w:t>organisation</w:t>
      </w:r>
      <w:r w:rsidRPr="00171158">
        <w:rPr>
          <w:rFonts w:ascii="Rubik" w:hAnsi="Rubik" w:cs="Rubik"/>
          <w:color w:val="253B61"/>
          <w:shd w:val="clear" w:color="auto" w:fill="FFFFFF"/>
        </w:rPr>
        <w:t xml:space="preserve"> if it is in its possession or control. It is irrelevant whether the information is legally </w:t>
      </w:r>
      <w:r w:rsidRPr="00171158">
        <w:rPr>
          <w:rStyle w:val="Emphasis"/>
          <w:rFonts w:ascii="Rubik" w:hAnsi="Rubik" w:cs="Rubik"/>
          <w:color w:val="253B61"/>
          <w:bdr w:val="none" w:sz="0" w:space="0" w:color="auto" w:frame="1"/>
          <w:shd w:val="clear" w:color="auto" w:fill="FFFFFF"/>
        </w:rPr>
        <w:t>owned</w:t>
      </w:r>
      <w:r w:rsidRPr="00171158">
        <w:rPr>
          <w:rFonts w:ascii="Rubik" w:hAnsi="Rubik" w:cs="Rubik"/>
          <w:color w:val="253B61"/>
          <w:shd w:val="clear" w:color="auto" w:fill="FFFFFF"/>
        </w:rPr>
        <w:t xml:space="preserve"> by the </w:t>
      </w:r>
      <w:r w:rsidRPr="00171158">
        <w:rPr>
          <w:rFonts w:ascii="Rubik" w:hAnsi="Rubik" w:cs="Rubik"/>
          <w:color w:val="253B61"/>
        </w:rPr>
        <w:t>organisation.</w:t>
      </w:r>
    </w:p>
    <w:p w14:paraId="297632AE" w14:textId="137ABC23"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(4) (b): the request is manifestly unreasonable</w:t>
      </w:r>
      <w:r w:rsidR="000762EB" w:rsidRPr="00171158">
        <w:rPr>
          <w:rFonts w:ascii="Rubik" w:hAnsi="Rubik" w:cs="Rubik"/>
          <w:b/>
          <w:bCs/>
          <w:color w:val="253B61"/>
        </w:rPr>
        <w:t>:</w:t>
      </w:r>
      <w:r w:rsidRPr="00171158">
        <w:rPr>
          <w:rFonts w:ascii="Rubik" w:hAnsi="Rubik" w:cs="Rubik"/>
          <w:b/>
          <w:bCs/>
          <w:color w:val="253B61"/>
        </w:rPr>
        <w:t> </w:t>
      </w:r>
    </w:p>
    <w:p w14:paraId="36830C56" w14:textId="77777777" w:rsidR="00AA1324" w:rsidRPr="00171158" w:rsidRDefault="00AA1324" w:rsidP="33482726">
      <w:pPr>
        <w:spacing w:before="20" w:beforeAutospacing="0" w:after="120" w:afterAutospacing="0"/>
        <w:rPr>
          <w:rFonts w:ascii="Rubik" w:hAnsi="Rubik" w:cs="Rubik"/>
          <w:color w:val="253B61"/>
          <w:shd w:val="clear" w:color="auto" w:fill="FFFFFF"/>
        </w:rPr>
      </w:pPr>
      <w:r w:rsidRPr="00171158">
        <w:rPr>
          <w:rFonts w:ascii="Rubik" w:hAnsi="Rubik" w:cs="Rubik"/>
          <w:color w:val="253B61"/>
          <w:shd w:val="clear" w:color="auto" w:fill="FFFFFF"/>
        </w:rPr>
        <w:t xml:space="preserve">This exception applies when the amount of information sought is so large as to be unreasonable </w:t>
      </w:r>
      <w:proofErr w:type="spellStart"/>
      <w:r w:rsidRPr="00171158">
        <w:rPr>
          <w:rFonts w:ascii="Rubik" w:hAnsi="Rubik" w:cs="Rubik"/>
          <w:color w:val="253B61"/>
          <w:shd w:val="clear" w:color="auto" w:fill="FFFFFF"/>
        </w:rPr>
        <w:t>e.g</w:t>
      </w:r>
      <w:proofErr w:type="spellEnd"/>
      <w:r w:rsidRPr="00171158">
        <w:rPr>
          <w:rFonts w:ascii="Rubik" w:hAnsi="Rubik" w:cs="Rubik"/>
          <w:color w:val="253B61"/>
          <w:shd w:val="clear" w:color="auto" w:fill="FFFFFF"/>
        </w:rPr>
        <w:t> a request for </w:t>
      </w:r>
      <w:r w:rsidRPr="00171158">
        <w:rPr>
          <w:rStyle w:val="Emphasis"/>
          <w:rFonts w:ascii="Rubik" w:hAnsi="Rubik" w:cs="Rubik"/>
          <w:color w:val="253B61"/>
          <w:bdr w:val="none" w:sz="0" w:space="0" w:color="auto" w:frame="1"/>
          <w:shd w:val="clear" w:color="auto" w:fill="FFFFFF"/>
        </w:rPr>
        <w:t>all information held on the Environment </w:t>
      </w:r>
      <w:r w:rsidRPr="00171158">
        <w:rPr>
          <w:rFonts w:ascii="Rubik" w:hAnsi="Rubik" w:cs="Rubik"/>
          <w:color w:val="253B61"/>
          <w:shd w:val="clear" w:color="auto" w:fill="FFFFFF"/>
        </w:rPr>
        <w:t>would be manifestly unreasonable. The exception should be used very sparingly as we must offer advice and assistance to any requestors, and should do so, before refusing a request on this basis.</w:t>
      </w:r>
    </w:p>
    <w:p w14:paraId="5C7D11E3" w14:textId="4607F6F9"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(4) (c): the request is formulated in too general a manner</w:t>
      </w:r>
      <w:r w:rsidR="000762EB" w:rsidRPr="00171158">
        <w:rPr>
          <w:rFonts w:ascii="Rubik" w:hAnsi="Rubik" w:cs="Rubik"/>
          <w:b/>
          <w:bCs/>
          <w:color w:val="253B61"/>
        </w:rPr>
        <w:t>:</w:t>
      </w:r>
    </w:p>
    <w:p w14:paraId="452418B7" w14:textId="77777777" w:rsidR="00AA1324" w:rsidRPr="00171158" w:rsidRDefault="00AA1324" w:rsidP="33482726">
      <w:pPr>
        <w:spacing w:before="20" w:beforeAutospacing="0" w:after="120" w:afterAutospacing="0"/>
        <w:rPr>
          <w:rFonts w:ascii="Rubik" w:hAnsi="Rubik" w:cs="Rubik"/>
          <w:color w:val="253B61"/>
        </w:rPr>
      </w:pPr>
      <w:r w:rsidRPr="00171158">
        <w:rPr>
          <w:rFonts w:ascii="Rubik" w:hAnsi="Rubik" w:cs="Rubik"/>
          <w:color w:val="253B61"/>
          <w:shd w:val="clear" w:color="auto" w:fill="FFFFFF"/>
        </w:rPr>
        <w:t>This exception applies when a request is not specific enough. In this situation we must have offered advice and assistance to help the requestor reformulate their request and identify the information sought.</w:t>
      </w:r>
    </w:p>
    <w:p w14:paraId="14D509DD" w14:textId="56AD8ECC"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(4) (d): the information is intended for future publication</w:t>
      </w:r>
      <w:r w:rsidR="000762EB" w:rsidRPr="00171158">
        <w:rPr>
          <w:rFonts w:ascii="Rubik" w:hAnsi="Rubik" w:cs="Rubik"/>
          <w:b/>
          <w:bCs/>
          <w:color w:val="253B61"/>
        </w:rPr>
        <w:t>:</w:t>
      </w:r>
    </w:p>
    <w:p w14:paraId="4BE80D8B" w14:textId="77777777" w:rsidR="00AA1324" w:rsidRPr="00171158" w:rsidRDefault="00AA1324" w:rsidP="33482726">
      <w:pPr>
        <w:spacing w:before="20" w:beforeAutospacing="0" w:after="120" w:afterAutospacing="0"/>
        <w:rPr>
          <w:rFonts w:ascii="Rubik" w:hAnsi="Rubik" w:cs="Rubik"/>
          <w:color w:val="253B61"/>
        </w:rPr>
      </w:pPr>
      <w:r w:rsidRPr="00171158">
        <w:rPr>
          <w:rFonts w:ascii="Rubik" w:hAnsi="Rubik" w:cs="Rubik"/>
          <w:color w:val="253B61"/>
        </w:rPr>
        <w:t>The exception prevents the organisation from having to release every single draft of a document before a final version is completed. In many cases, however, the public interest in releasing unfinished documents will be stronger than the public interest engaged with this exception, especially where the matter is subject to current public debate.</w:t>
      </w:r>
    </w:p>
    <w:p w14:paraId="205C786C" w14:textId="5B4C004C" w:rsidR="00AA1324" w:rsidRPr="00171158" w:rsidRDefault="00AA1324" w:rsidP="33482726">
      <w:pPr>
        <w:spacing w:before="20" w:beforeAutospacing="0" w:after="120" w:afterAutospacing="0"/>
        <w:rPr>
          <w:rFonts w:ascii="Rubik" w:hAnsi="Rubik" w:cs="Rubik"/>
          <w:color w:val="253B61"/>
        </w:rPr>
      </w:pPr>
      <w:r w:rsidRPr="00171158">
        <w:rPr>
          <w:rFonts w:ascii="Rubik" w:hAnsi="Rubik" w:cs="Rubik"/>
          <w:color w:val="253B61"/>
        </w:rPr>
        <w:t>When applying this exception, it would be reasonable to provide the requestor with an estimated publication date for the information</w:t>
      </w:r>
      <w:r w:rsidR="000762EB" w:rsidRPr="00171158">
        <w:rPr>
          <w:rFonts w:ascii="Rubik" w:hAnsi="Rubik" w:cs="Rubik"/>
          <w:color w:val="253B61"/>
        </w:rPr>
        <w:t>.</w:t>
      </w:r>
    </w:p>
    <w:p w14:paraId="1684826E" w14:textId="5B326212"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(4) (e): the request involves the disclosure of internal communications</w:t>
      </w:r>
      <w:r w:rsidR="000762EB" w:rsidRPr="00171158">
        <w:rPr>
          <w:rFonts w:ascii="Rubik" w:hAnsi="Rubik" w:cs="Rubik"/>
          <w:b/>
          <w:bCs/>
          <w:color w:val="253B61"/>
        </w:rPr>
        <w:t>:</w:t>
      </w:r>
    </w:p>
    <w:p w14:paraId="748C7C77" w14:textId="77777777" w:rsidR="00AA1324" w:rsidRPr="00171158" w:rsidRDefault="00AA1324" w:rsidP="33482726">
      <w:pPr>
        <w:spacing w:before="20" w:beforeAutospacing="0" w:after="120" w:afterAutospacing="0"/>
        <w:rPr>
          <w:rFonts w:ascii="Rubik" w:hAnsi="Rubik" w:cs="Rubik"/>
          <w:color w:val="253B61"/>
        </w:rPr>
      </w:pPr>
      <w:r w:rsidRPr="00171158">
        <w:rPr>
          <w:rFonts w:ascii="Rubik" w:hAnsi="Rubik" w:cs="Rubik"/>
          <w:color w:val="253B61"/>
        </w:rPr>
        <w:t xml:space="preserve">The organisation </w:t>
      </w:r>
      <w:r w:rsidRPr="00171158">
        <w:rPr>
          <w:rFonts w:ascii="Rubik" w:hAnsi="Rubik" w:cs="Rubik"/>
          <w:color w:val="253B61"/>
          <w:shd w:val="clear" w:color="auto" w:fill="FFFFFF"/>
        </w:rPr>
        <w:t xml:space="preserve">may refuse to disclose information if the request involves the disclosure of internal communications. This exception allows the </w:t>
      </w:r>
      <w:r w:rsidRPr="00171158">
        <w:rPr>
          <w:rFonts w:ascii="Rubik" w:hAnsi="Rubik" w:cs="Rubik"/>
          <w:color w:val="253B61"/>
        </w:rPr>
        <w:t>organisation</w:t>
      </w:r>
      <w:r w:rsidRPr="00171158">
        <w:rPr>
          <w:rFonts w:ascii="Rubik" w:hAnsi="Rubik" w:cs="Rubik"/>
          <w:color w:val="253B61"/>
          <w:bdr w:val="none" w:sz="0" w:space="0" w:color="auto" w:frame="1"/>
          <w:shd w:val="clear" w:color="auto" w:fill="FFFFFF"/>
        </w:rPr>
        <w:t> </w:t>
      </w:r>
      <w:r w:rsidRPr="00171158">
        <w:rPr>
          <w:rStyle w:val="Emphasis"/>
          <w:rFonts w:ascii="Rubik" w:hAnsi="Rubik" w:cs="Rubik"/>
          <w:color w:val="253B61"/>
          <w:shd w:val="clear" w:color="auto" w:fill="FFFFFF"/>
        </w:rPr>
        <w:t>to think in private</w:t>
      </w:r>
      <w:r w:rsidRPr="00171158">
        <w:rPr>
          <w:rFonts w:ascii="Rubik" w:hAnsi="Rubik" w:cs="Rubik"/>
          <w:color w:val="253B61"/>
          <w:shd w:val="clear" w:color="auto" w:fill="FFFFFF"/>
        </w:rPr>
        <w:t xml:space="preserve">, but it does not protect communications between the </w:t>
      </w:r>
      <w:r w:rsidRPr="00171158">
        <w:rPr>
          <w:rFonts w:ascii="Rubik" w:hAnsi="Rubik" w:cs="Rubik"/>
          <w:color w:val="253B61"/>
        </w:rPr>
        <w:t>organisation and any other person or organisation, be they public or private sector.</w:t>
      </w:r>
    </w:p>
    <w:p w14:paraId="4C8FDE83" w14:textId="2C3828F8"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(5) (a): disclosure would adversely affect international relations, defence, national security or public safety</w:t>
      </w:r>
      <w:r w:rsidR="000762EB" w:rsidRPr="00171158">
        <w:rPr>
          <w:rFonts w:ascii="Rubik" w:hAnsi="Rubik" w:cs="Rubik"/>
          <w:b/>
          <w:bCs/>
          <w:color w:val="253B61"/>
        </w:rPr>
        <w:t>:</w:t>
      </w:r>
    </w:p>
    <w:p w14:paraId="4658160A" w14:textId="77777777" w:rsidR="00AA1324" w:rsidRPr="00171158" w:rsidRDefault="00AA1324" w:rsidP="33482726">
      <w:pPr>
        <w:spacing w:before="20" w:beforeAutospacing="0" w:after="120" w:afterAutospacing="0"/>
        <w:rPr>
          <w:rFonts w:ascii="Rubik" w:hAnsi="Rubik" w:cs="Rubik"/>
          <w:color w:val="253B61"/>
        </w:rPr>
      </w:pPr>
      <w:r w:rsidRPr="00171158">
        <w:rPr>
          <w:rFonts w:ascii="Rubik" w:hAnsi="Rubik" w:cs="Rubik"/>
          <w:color w:val="253B61"/>
          <w:shd w:val="clear" w:color="auto" w:fill="FFFFFF"/>
        </w:rPr>
        <w:t xml:space="preserve">This exception only applies in these cases when, subject to the public interest test, the </w:t>
      </w:r>
      <w:r w:rsidRPr="00171158">
        <w:rPr>
          <w:rFonts w:ascii="Rubik" w:hAnsi="Rubik" w:cs="Rubik"/>
          <w:color w:val="253B61"/>
        </w:rPr>
        <w:t>organisation</w:t>
      </w:r>
      <w:r w:rsidRPr="00171158">
        <w:rPr>
          <w:rFonts w:ascii="Rubik" w:hAnsi="Rubik" w:cs="Rubik"/>
          <w:color w:val="253B61"/>
          <w:shd w:val="clear" w:color="auto" w:fill="FFFFFF"/>
        </w:rPr>
        <w:t xml:space="preserve"> is not required to confirm or deny whether the information exists or is held by the </w:t>
      </w:r>
      <w:r w:rsidRPr="00171158">
        <w:rPr>
          <w:rFonts w:ascii="Rubik" w:hAnsi="Rubik" w:cs="Rubik"/>
          <w:color w:val="253B61"/>
        </w:rPr>
        <w:t>organisation</w:t>
      </w:r>
      <w:r w:rsidRPr="00171158">
        <w:rPr>
          <w:rFonts w:ascii="Rubik" w:hAnsi="Rubik" w:cs="Rubik"/>
          <w:color w:val="253B61"/>
          <w:shd w:val="clear" w:color="auto" w:fill="FFFFFF"/>
        </w:rPr>
        <w:t>.</w:t>
      </w:r>
    </w:p>
    <w:p w14:paraId="3C525E4A" w14:textId="77777777" w:rsidR="00AA1324" w:rsidRPr="00171158" w:rsidRDefault="00AA1324" w:rsidP="33482726">
      <w:pPr>
        <w:spacing w:before="20" w:beforeAutospacing="0" w:after="120" w:afterAutospacing="0"/>
        <w:rPr>
          <w:rFonts w:ascii="Rubik" w:hAnsi="Rubik" w:cs="Rubik"/>
          <w:color w:val="253B61"/>
        </w:rPr>
      </w:pPr>
    </w:p>
    <w:p w14:paraId="3EF822DC" w14:textId="01887708"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(5) (b): disclosure would adversely affect the course of justice, the ability of a person to receive a fair trial or the ability of a public authority to conduct an enquiry of a criminal or disciplinary nature</w:t>
      </w:r>
      <w:r w:rsidR="000762EB" w:rsidRPr="00171158">
        <w:rPr>
          <w:rFonts w:ascii="Rubik" w:hAnsi="Rubik" w:cs="Rubik"/>
          <w:b/>
          <w:bCs/>
          <w:color w:val="253B61"/>
        </w:rPr>
        <w:t>:</w:t>
      </w:r>
      <w:r w:rsidRPr="00171158">
        <w:rPr>
          <w:rFonts w:ascii="Rubik" w:hAnsi="Rubik" w:cs="Rubik"/>
          <w:b/>
          <w:bCs/>
          <w:color w:val="253B61"/>
        </w:rPr>
        <w:t> </w:t>
      </w:r>
    </w:p>
    <w:p w14:paraId="505E33ED" w14:textId="77777777" w:rsidR="00AA1324" w:rsidRPr="00171158" w:rsidRDefault="00AA1324" w:rsidP="33482726">
      <w:pPr>
        <w:spacing w:before="20" w:beforeAutospacing="0" w:after="120" w:afterAutospacing="0"/>
        <w:rPr>
          <w:rFonts w:ascii="Rubik" w:hAnsi="Rubik" w:cs="Rubik"/>
          <w:color w:val="253B61"/>
        </w:rPr>
      </w:pPr>
      <w:r w:rsidRPr="00171158">
        <w:rPr>
          <w:rFonts w:ascii="Rubik" w:hAnsi="Rubik" w:cs="Rubik"/>
          <w:color w:val="253B61"/>
        </w:rPr>
        <w:t xml:space="preserve">Before the organisation applies this </w:t>
      </w:r>
      <w:proofErr w:type="gramStart"/>
      <w:r w:rsidRPr="00171158">
        <w:rPr>
          <w:rFonts w:ascii="Rubik" w:hAnsi="Rubik" w:cs="Rubik"/>
          <w:color w:val="253B61"/>
        </w:rPr>
        <w:t>exception</w:t>
      </w:r>
      <w:proofErr w:type="gramEnd"/>
      <w:r w:rsidRPr="00171158">
        <w:rPr>
          <w:rFonts w:ascii="Rubik" w:hAnsi="Rubik" w:cs="Rubik"/>
          <w:color w:val="253B61"/>
        </w:rPr>
        <w:t xml:space="preserve"> it must be made clear that release of information would have this adverse effect. This exception is narrower than the related FOIA exemptions, both in terms of the proceedings it covers and the likelihood of affecting the protected interest.</w:t>
      </w:r>
    </w:p>
    <w:p w14:paraId="48FAFB6A" w14:textId="77777777" w:rsidR="00AA1324" w:rsidRPr="00171158" w:rsidRDefault="00AA1324" w:rsidP="33482726">
      <w:pPr>
        <w:spacing w:before="20" w:beforeAutospacing="0" w:after="120" w:afterAutospacing="0"/>
        <w:rPr>
          <w:rFonts w:ascii="Rubik" w:hAnsi="Rubik" w:cs="Rubik"/>
          <w:color w:val="253B61"/>
        </w:rPr>
      </w:pPr>
      <w:r w:rsidRPr="00171158">
        <w:rPr>
          <w:rFonts w:ascii="Rubik" w:hAnsi="Rubik" w:cs="Rubik"/>
          <w:color w:val="253B61"/>
        </w:rPr>
        <w:t xml:space="preserve">There is a strong public interest in not adversely affecting the course of justice or the right of a person to receive a fair trial. The main question for us would be whether releasing the information will </w:t>
      </w:r>
      <w:proofErr w:type="gramStart"/>
      <w:r w:rsidRPr="00171158">
        <w:rPr>
          <w:rFonts w:ascii="Rubik" w:hAnsi="Rubik" w:cs="Rubik"/>
          <w:color w:val="253B61"/>
        </w:rPr>
        <w:t>actually have</w:t>
      </w:r>
      <w:proofErr w:type="gramEnd"/>
      <w:r w:rsidRPr="00171158">
        <w:rPr>
          <w:rFonts w:ascii="Rubik" w:hAnsi="Rubik" w:cs="Rubik"/>
          <w:color w:val="253B61"/>
        </w:rPr>
        <w:t xml:space="preserve"> such an </w:t>
      </w:r>
      <w:proofErr w:type="gramStart"/>
      <w:r w:rsidRPr="00171158">
        <w:rPr>
          <w:rFonts w:ascii="Rubik" w:hAnsi="Rubik" w:cs="Rubik"/>
          <w:color w:val="253B61"/>
        </w:rPr>
        <w:t>affect</w:t>
      </w:r>
      <w:proofErr w:type="gramEnd"/>
      <w:r w:rsidRPr="00171158">
        <w:rPr>
          <w:rFonts w:ascii="Rubik" w:hAnsi="Rubik" w:cs="Rubik"/>
          <w:color w:val="253B61"/>
        </w:rPr>
        <w:t>. It is not enough to think that its release </w:t>
      </w:r>
      <w:r w:rsidRPr="00171158">
        <w:rPr>
          <w:rStyle w:val="Emphasis"/>
          <w:rFonts w:ascii="Rubik" w:hAnsi="Rubik" w:cs="Rubik"/>
          <w:color w:val="253B61"/>
          <w:bdr w:val="none" w:sz="0" w:space="0" w:color="auto" w:frame="1"/>
        </w:rPr>
        <w:t>might</w:t>
      </w:r>
      <w:r w:rsidRPr="00171158">
        <w:rPr>
          <w:rFonts w:ascii="Rubik" w:hAnsi="Rubik" w:cs="Rubik"/>
          <w:color w:val="253B61"/>
        </w:rPr>
        <w:t> have such an effect.</w:t>
      </w:r>
    </w:p>
    <w:p w14:paraId="5F8BF60F" w14:textId="6B4B2593"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(5) (c): disclosure would adversely affect intellectual property rights</w:t>
      </w:r>
      <w:r w:rsidR="000762EB" w:rsidRPr="00171158">
        <w:rPr>
          <w:rFonts w:ascii="Rubik" w:hAnsi="Rubik" w:cs="Rubik"/>
          <w:b/>
          <w:bCs/>
          <w:color w:val="253B61"/>
        </w:rPr>
        <w:t>:</w:t>
      </w:r>
      <w:r w:rsidRPr="00171158">
        <w:rPr>
          <w:rFonts w:ascii="Rubik" w:hAnsi="Rubik" w:cs="Rubik"/>
          <w:b/>
          <w:bCs/>
          <w:color w:val="253B61"/>
        </w:rPr>
        <w:t> </w:t>
      </w:r>
    </w:p>
    <w:p w14:paraId="176B9483" w14:textId="77777777" w:rsidR="00AA1324" w:rsidRPr="00171158" w:rsidRDefault="00AA1324" w:rsidP="33482726">
      <w:pPr>
        <w:spacing w:before="20" w:beforeAutospacing="0" w:after="120" w:afterAutospacing="0"/>
        <w:rPr>
          <w:rFonts w:ascii="Rubik" w:hAnsi="Rubik" w:cs="Rubik"/>
          <w:color w:val="253B61"/>
          <w:shd w:val="clear" w:color="auto" w:fill="FFFFFF"/>
        </w:rPr>
      </w:pPr>
      <w:r w:rsidRPr="00171158">
        <w:rPr>
          <w:rFonts w:ascii="Rubik" w:hAnsi="Rubik" w:cs="Rubik"/>
          <w:color w:val="253B61"/>
        </w:rPr>
        <w:t>The organisation may</w:t>
      </w:r>
      <w:r w:rsidRPr="00171158">
        <w:rPr>
          <w:rFonts w:ascii="Rubik" w:hAnsi="Rubik" w:cs="Rubik"/>
          <w:color w:val="253B61"/>
          <w:shd w:val="clear" w:color="auto" w:fill="FFFFFF"/>
        </w:rPr>
        <w:t xml:space="preserve"> refuse to disclose information that would adversely affect intellectual property rights. The fact that copyright in the information may be held by a 3rd party does not create an exception.</w:t>
      </w:r>
    </w:p>
    <w:p w14:paraId="152D311F" w14:textId="3CED7708"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lastRenderedPageBreak/>
        <w:t>Reg. 12 (5) (d): disclosure would adversely affect confidentiality of proceedings</w:t>
      </w:r>
      <w:r w:rsidR="000762EB" w:rsidRPr="00171158">
        <w:rPr>
          <w:rFonts w:ascii="Rubik" w:hAnsi="Rubik" w:cs="Rubik"/>
          <w:b/>
          <w:bCs/>
          <w:color w:val="253B61"/>
        </w:rPr>
        <w:t>:</w:t>
      </w:r>
      <w:r w:rsidRPr="00171158">
        <w:rPr>
          <w:rFonts w:ascii="Rubik" w:hAnsi="Rubik" w:cs="Rubik"/>
          <w:b/>
          <w:bCs/>
          <w:color w:val="253B61"/>
        </w:rPr>
        <w:t> </w:t>
      </w:r>
    </w:p>
    <w:p w14:paraId="01C22957" w14:textId="77777777" w:rsidR="00AA1324" w:rsidRPr="00171158" w:rsidRDefault="00AA1324" w:rsidP="33482726">
      <w:pPr>
        <w:spacing w:before="20" w:beforeAutospacing="0" w:after="120" w:afterAutospacing="0"/>
        <w:rPr>
          <w:rFonts w:ascii="Rubik" w:hAnsi="Rubik" w:cs="Rubik"/>
          <w:color w:val="253B61"/>
          <w:shd w:val="clear" w:color="auto" w:fill="FFFFFF"/>
        </w:rPr>
      </w:pPr>
      <w:r w:rsidRPr="00171158">
        <w:rPr>
          <w:rFonts w:ascii="Rubik" w:hAnsi="Rubik" w:cs="Rubik"/>
          <w:color w:val="253B61"/>
          <w:shd w:val="clear" w:color="auto" w:fill="FFFFFF"/>
        </w:rPr>
        <w:t xml:space="preserve">In this exception the confidentiality to be protected must be protected by law. The </w:t>
      </w:r>
      <w:r w:rsidRPr="00171158">
        <w:rPr>
          <w:rFonts w:ascii="Rubik" w:hAnsi="Rubik" w:cs="Rubik"/>
          <w:color w:val="253B61"/>
        </w:rPr>
        <w:t>organisation</w:t>
      </w:r>
      <w:r w:rsidRPr="00171158">
        <w:rPr>
          <w:rFonts w:ascii="Rubik" w:hAnsi="Rubik" w:cs="Rubik"/>
          <w:color w:val="253B61"/>
          <w:shd w:val="clear" w:color="auto" w:fill="FFFFFF"/>
        </w:rPr>
        <w:t xml:space="preserve"> may not simply declare documents as </w:t>
      </w:r>
      <w:r w:rsidRPr="00171158">
        <w:rPr>
          <w:rStyle w:val="Emphasis"/>
          <w:rFonts w:ascii="Rubik" w:hAnsi="Rubik" w:cs="Rubik"/>
          <w:color w:val="253B61"/>
          <w:bdr w:val="none" w:sz="0" w:space="0" w:color="auto" w:frame="1"/>
          <w:shd w:val="clear" w:color="auto" w:fill="FFFFFF"/>
        </w:rPr>
        <w:t>confidential</w:t>
      </w:r>
      <w:r w:rsidRPr="00171158">
        <w:rPr>
          <w:rFonts w:ascii="Rubik" w:hAnsi="Rubik" w:cs="Rubik"/>
          <w:color w:val="253B61"/>
          <w:shd w:val="clear" w:color="auto" w:fill="FFFFFF"/>
        </w:rPr>
        <w:t> and then seek to rely on this exception; a legally protected right to confidentiality must already exist.</w:t>
      </w:r>
    </w:p>
    <w:p w14:paraId="10B88F21" w14:textId="7CFC523B"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(5) (e) disclosure would adversely affect commercial or industrial confidentiality</w:t>
      </w:r>
      <w:r w:rsidR="000762EB" w:rsidRPr="00171158">
        <w:rPr>
          <w:rFonts w:ascii="Rubik" w:hAnsi="Rubik" w:cs="Rubik"/>
          <w:b/>
          <w:bCs/>
          <w:color w:val="253B61"/>
        </w:rPr>
        <w:t>:</w:t>
      </w:r>
      <w:r w:rsidRPr="00171158">
        <w:rPr>
          <w:rFonts w:ascii="Rubik" w:hAnsi="Rubik" w:cs="Rubik"/>
          <w:b/>
          <w:bCs/>
          <w:color w:val="253B61"/>
        </w:rPr>
        <w:t> </w:t>
      </w:r>
    </w:p>
    <w:p w14:paraId="13579207" w14:textId="77777777" w:rsidR="00AA1324" w:rsidRPr="00171158" w:rsidRDefault="00AA1324" w:rsidP="33482726">
      <w:pPr>
        <w:spacing w:before="20" w:beforeAutospacing="0" w:after="120" w:afterAutospacing="0"/>
        <w:rPr>
          <w:rFonts w:ascii="Rubik" w:hAnsi="Rubik" w:cs="Rubik"/>
          <w:color w:val="253B61"/>
          <w:shd w:val="clear" w:color="auto" w:fill="FFFFFF"/>
        </w:rPr>
      </w:pPr>
      <w:r w:rsidRPr="00171158">
        <w:rPr>
          <w:rFonts w:ascii="Rubik" w:hAnsi="Rubik" w:cs="Rubik"/>
          <w:color w:val="253B61"/>
          <w:shd w:val="clear" w:color="auto" w:fill="FFFFFF"/>
        </w:rPr>
        <w:t xml:space="preserve">This exception only applies to information which has a confidentiality protected by law, which protects legitimate economic interests. Disclosure may only be refused where the commercial confidentiality would </w:t>
      </w:r>
      <w:proofErr w:type="gramStart"/>
      <w:r w:rsidRPr="00171158">
        <w:rPr>
          <w:rFonts w:ascii="Rubik" w:hAnsi="Rubik" w:cs="Rubik"/>
          <w:color w:val="253B61"/>
          <w:shd w:val="clear" w:color="auto" w:fill="FFFFFF"/>
        </w:rPr>
        <w:t>actually be</w:t>
      </w:r>
      <w:proofErr w:type="gramEnd"/>
      <w:r w:rsidRPr="00171158">
        <w:rPr>
          <w:rFonts w:ascii="Rubik" w:hAnsi="Rubik" w:cs="Rubik"/>
          <w:color w:val="253B61"/>
          <w:shd w:val="clear" w:color="auto" w:fill="FFFFFF"/>
        </w:rPr>
        <w:t xml:space="preserve"> adversely affected. In most cases, this will require demonstrating that the person or organisation whose interests are protected would suffer a real commercial or competitive disadvantage if the information were released.</w:t>
      </w:r>
    </w:p>
    <w:p w14:paraId="2189C108" w14:textId="76EBA9F3"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(5) (f): disclosure would adversely affect the interests of the person or organisation who provided the information</w:t>
      </w:r>
      <w:r w:rsidR="000762EB" w:rsidRPr="00171158">
        <w:rPr>
          <w:rFonts w:ascii="Rubik" w:hAnsi="Rubik" w:cs="Rubik"/>
          <w:b/>
          <w:bCs/>
          <w:color w:val="253B61"/>
        </w:rPr>
        <w:t>:</w:t>
      </w:r>
      <w:r w:rsidRPr="00171158">
        <w:rPr>
          <w:rFonts w:ascii="Rubik" w:hAnsi="Rubik" w:cs="Rubik"/>
          <w:b/>
          <w:bCs/>
          <w:color w:val="253B61"/>
        </w:rPr>
        <w:t> </w:t>
      </w:r>
    </w:p>
    <w:p w14:paraId="3CBF0302" w14:textId="77777777" w:rsidR="00AA1324" w:rsidRPr="00171158" w:rsidRDefault="00AA1324" w:rsidP="33482726">
      <w:pPr>
        <w:spacing w:before="20" w:beforeAutospacing="0" w:after="120" w:afterAutospacing="0"/>
        <w:rPr>
          <w:rFonts w:ascii="Rubik" w:hAnsi="Rubik" w:cs="Rubik"/>
          <w:color w:val="253B61"/>
          <w:shd w:val="clear" w:color="auto" w:fill="FFFFFF"/>
        </w:rPr>
      </w:pPr>
      <w:r w:rsidRPr="00171158">
        <w:rPr>
          <w:rFonts w:ascii="Rubik" w:hAnsi="Rubik" w:cs="Rubik"/>
          <w:color w:val="253B61"/>
          <w:shd w:val="clear" w:color="auto" w:fill="FFFFFF"/>
        </w:rPr>
        <w:t xml:space="preserve">In these </w:t>
      </w:r>
      <w:proofErr w:type="gramStart"/>
      <w:r w:rsidRPr="00171158">
        <w:rPr>
          <w:rFonts w:ascii="Rubik" w:hAnsi="Rubik" w:cs="Rubik"/>
          <w:color w:val="253B61"/>
          <w:shd w:val="clear" w:color="auto" w:fill="FFFFFF"/>
        </w:rPr>
        <w:t>cases</w:t>
      </w:r>
      <w:proofErr w:type="gramEnd"/>
      <w:r w:rsidRPr="00171158">
        <w:rPr>
          <w:rFonts w:ascii="Rubik" w:hAnsi="Rubik" w:cs="Rubik"/>
          <w:color w:val="253B61"/>
          <w:shd w:val="clear" w:color="auto" w:fill="FFFFFF"/>
        </w:rPr>
        <w:t xml:space="preserve"> the information will have been provided voluntarily by an individual or organisation who will not have given consent to its disclosure. The purpose of this exception is to protect the supply of information to the </w:t>
      </w:r>
      <w:r w:rsidRPr="00171158">
        <w:rPr>
          <w:rFonts w:ascii="Rubik" w:hAnsi="Rubik" w:cs="Rubik"/>
          <w:color w:val="253B61"/>
        </w:rPr>
        <w:t>organisation</w:t>
      </w:r>
      <w:r w:rsidRPr="00171158">
        <w:rPr>
          <w:rFonts w:ascii="Rubik" w:hAnsi="Rubik" w:cs="Rubik"/>
          <w:color w:val="253B61"/>
          <w:shd w:val="clear" w:color="auto" w:fill="FFFFFF"/>
        </w:rPr>
        <w:t xml:space="preserve"> that might not otherwise be made available (</w:t>
      </w:r>
      <w:proofErr w:type="gramStart"/>
      <w:r w:rsidRPr="00171158">
        <w:rPr>
          <w:rFonts w:ascii="Rubik" w:hAnsi="Rubik" w:cs="Rubik"/>
          <w:color w:val="253B61"/>
          <w:shd w:val="clear" w:color="auto" w:fill="FFFFFF"/>
        </w:rPr>
        <w:t>in particular from</w:t>
      </w:r>
      <w:proofErr w:type="gramEnd"/>
      <w:r w:rsidRPr="00171158">
        <w:rPr>
          <w:rFonts w:ascii="Rubik" w:hAnsi="Rubik" w:cs="Rubik"/>
          <w:color w:val="253B61"/>
          <w:shd w:val="clear" w:color="auto" w:fill="FFFFFF"/>
        </w:rPr>
        <w:t xml:space="preserve"> </w:t>
      </w:r>
      <w:r w:rsidRPr="00171158">
        <w:rPr>
          <w:rStyle w:val="Emphasis"/>
          <w:rFonts w:ascii="Rubik" w:hAnsi="Rubik" w:cs="Rubik"/>
          <w:color w:val="253B61"/>
          <w:bdr w:val="none" w:sz="0" w:space="0" w:color="auto" w:frame="1"/>
          <w:shd w:val="clear" w:color="auto" w:fill="FFFFFF"/>
        </w:rPr>
        <w:t>whistle blowers</w:t>
      </w:r>
      <w:r w:rsidRPr="00171158">
        <w:rPr>
          <w:rFonts w:ascii="Rubik" w:hAnsi="Rubik" w:cs="Rubik"/>
          <w:color w:val="253B61"/>
          <w:shd w:val="clear" w:color="auto" w:fill="FFFFFF"/>
        </w:rPr>
        <w:t xml:space="preserve">). Its purpose is not to except from disclosure information supplied </w:t>
      </w:r>
      <w:proofErr w:type="gramStart"/>
      <w:r w:rsidRPr="00171158">
        <w:rPr>
          <w:rFonts w:ascii="Rubik" w:hAnsi="Rubik" w:cs="Rubik"/>
          <w:color w:val="253B61"/>
          <w:shd w:val="clear" w:color="auto" w:fill="FFFFFF"/>
        </w:rPr>
        <w:t>in order to</w:t>
      </w:r>
      <w:proofErr w:type="gramEnd"/>
      <w:r w:rsidRPr="00171158">
        <w:rPr>
          <w:rFonts w:ascii="Rubik" w:hAnsi="Rubik" w:cs="Rubik"/>
          <w:color w:val="253B61"/>
          <w:shd w:val="clear" w:color="auto" w:fill="FFFFFF"/>
        </w:rPr>
        <w:t xml:space="preserve"> obtain a permit or licence. Even in </w:t>
      </w:r>
      <w:proofErr w:type="gramStart"/>
      <w:r w:rsidRPr="00171158">
        <w:rPr>
          <w:rFonts w:ascii="Rubik" w:hAnsi="Rubik" w:cs="Rubik"/>
          <w:color w:val="253B61"/>
          <w:shd w:val="clear" w:color="auto" w:fill="FFFFFF"/>
        </w:rPr>
        <w:t>these case</w:t>
      </w:r>
      <w:proofErr w:type="gramEnd"/>
      <w:r w:rsidRPr="00171158">
        <w:rPr>
          <w:rFonts w:ascii="Rubik" w:hAnsi="Rubik" w:cs="Rubik"/>
          <w:color w:val="253B61"/>
          <w:shd w:val="clear" w:color="auto" w:fill="FFFFFF"/>
        </w:rPr>
        <w:t xml:space="preserve"> the public interest in disclosing information supplied as part of such an application is likely to be very high.</w:t>
      </w:r>
    </w:p>
    <w:p w14:paraId="06E338ED" w14:textId="49E3CDAE"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(5) (g): disclosure would adversely affect environmental protection</w:t>
      </w:r>
      <w:r w:rsidR="000762EB" w:rsidRPr="00171158">
        <w:rPr>
          <w:rFonts w:ascii="Rubik" w:hAnsi="Rubik" w:cs="Rubik"/>
          <w:b/>
          <w:bCs/>
          <w:color w:val="253B61"/>
        </w:rPr>
        <w:t>:</w:t>
      </w:r>
      <w:r w:rsidRPr="00171158">
        <w:rPr>
          <w:rFonts w:ascii="Rubik" w:hAnsi="Rubik" w:cs="Rubik"/>
          <w:b/>
          <w:bCs/>
          <w:color w:val="253B61"/>
        </w:rPr>
        <w:t> </w:t>
      </w:r>
    </w:p>
    <w:p w14:paraId="560B7D5D" w14:textId="77777777" w:rsidR="00AA1324" w:rsidRPr="00171158" w:rsidRDefault="00AA1324" w:rsidP="33482726">
      <w:pPr>
        <w:spacing w:before="20" w:beforeAutospacing="0" w:after="120" w:afterAutospacing="0"/>
        <w:rPr>
          <w:rFonts w:ascii="Rubik" w:hAnsi="Rubik" w:cs="Rubik"/>
          <w:color w:val="253B61"/>
          <w:shd w:val="clear" w:color="auto" w:fill="FFFFFF"/>
        </w:rPr>
      </w:pPr>
      <w:r w:rsidRPr="00171158">
        <w:rPr>
          <w:rFonts w:ascii="Rubik" w:hAnsi="Rubik" w:cs="Rubik"/>
          <w:color w:val="253B61"/>
          <w:shd w:val="clear" w:color="auto" w:fill="FFFFFF"/>
        </w:rPr>
        <w:t xml:space="preserve">The </w:t>
      </w:r>
      <w:r w:rsidRPr="00171158">
        <w:rPr>
          <w:rFonts w:ascii="Rubik" w:hAnsi="Rubik" w:cs="Rubik"/>
          <w:color w:val="253B61"/>
        </w:rPr>
        <w:t>organisation</w:t>
      </w:r>
      <w:r w:rsidRPr="00171158">
        <w:rPr>
          <w:rFonts w:ascii="Rubik" w:hAnsi="Rubik" w:cs="Rubik"/>
          <w:color w:val="253B61"/>
          <w:shd w:val="clear" w:color="auto" w:fill="FFFFFF"/>
        </w:rPr>
        <w:t xml:space="preserve"> may refuse to disclose if it would have a detrimental effect on our ability to protect the environment.</w:t>
      </w:r>
    </w:p>
    <w:p w14:paraId="11D54B81" w14:textId="43567689"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13: personal data</w:t>
      </w:r>
      <w:r w:rsidR="000762EB" w:rsidRPr="00171158">
        <w:rPr>
          <w:rFonts w:ascii="Rubik" w:hAnsi="Rubik" w:cs="Rubik"/>
          <w:b/>
          <w:bCs/>
          <w:color w:val="253B61"/>
        </w:rPr>
        <w:t>:</w:t>
      </w:r>
    </w:p>
    <w:p w14:paraId="3EBE4ADC" w14:textId="77777777" w:rsidR="00AA1324" w:rsidRPr="00171158" w:rsidRDefault="00AA1324" w:rsidP="33482726">
      <w:pPr>
        <w:spacing w:before="20" w:beforeAutospacing="0" w:after="120" w:afterAutospacing="0"/>
        <w:rPr>
          <w:rFonts w:ascii="Rubik" w:hAnsi="Rubik" w:cs="Rubik"/>
          <w:color w:val="253B61"/>
          <w:shd w:val="clear" w:color="auto" w:fill="FFFFFF"/>
        </w:rPr>
      </w:pPr>
      <w:r w:rsidRPr="00171158">
        <w:rPr>
          <w:rFonts w:ascii="Rubik" w:hAnsi="Rubik" w:cs="Rubik"/>
          <w:color w:val="253B61"/>
          <w:shd w:val="clear" w:color="auto" w:fill="FFFFFF"/>
        </w:rPr>
        <w:t>When information requested includes personal information, of which the requestor is not the subject, then use of the exception will depend on whether the disclosure of the personal information about a member of staff to the public would be </w:t>
      </w:r>
      <w:r w:rsidRPr="00171158">
        <w:rPr>
          <w:rStyle w:val="Emphasis"/>
          <w:rFonts w:ascii="Rubik" w:hAnsi="Rubik" w:cs="Rubik"/>
          <w:color w:val="253B61"/>
          <w:bdr w:val="none" w:sz="0" w:space="0" w:color="auto" w:frame="1"/>
          <w:shd w:val="clear" w:color="auto" w:fill="FFFFFF"/>
        </w:rPr>
        <w:t>fair and lawful</w:t>
      </w:r>
      <w:r w:rsidRPr="00171158">
        <w:rPr>
          <w:rFonts w:ascii="Rubik" w:hAnsi="Rubik" w:cs="Rubik"/>
          <w:color w:val="253B61"/>
          <w:shd w:val="clear" w:color="auto" w:fill="FFFFFF"/>
        </w:rPr>
        <w:t> under the Data Protection Principles within the Data Protection Act 2018.</w:t>
      </w:r>
    </w:p>
    <w:p w14:paraId="4FA00626" w14:textId="77777777" w:rsidR="00A737AE" w:rsidRPr="00171158" w:rsidRDefault="00A737AE" w:rsidP="00AA1324">
      <w:pPr>
        <w:rPr>
          <w:rFonts w:ascii="Rubik" w:hAnsi="Rubik" w:cs="Rubik"/>
          <w:color w:val="253B61"/>
          <w:shd w:val="clear" w:color="auto" w:fill="FFFFFF"/>
        </w:rPr>
      </w:pPr>
    </w:p>
    <w:p w14:paraId="1A814401" w14:textId="57C81857" w:rsidR="00AA1324" w:rsidRDefault="00AA1324">
      <w:pPr>
        <w:rPr>
          <w:rFonts w:ascii="Rubik" w:hAnsi="Rubik" w:cs="Rubik"/>
          <w:color w:val="253B61"/>
          <w:shd w:val="clear" w:color="auto" w:fill="FFFFFF"/>
        </w:rPr>
      </w:pPr>
    </w:p>
    <w:p w14:paraId="76FF70D5" w14:textId="77777777" w:rsidR="003874E1" w:rsidRDefault="003874E1">
      <w:pPr>
        <w:rPr>
          <w:rFonts w:ascii="Rubik" w:hAnsi="Rubik" w:cs="Rubik"/>
          <w:color w:val="253B61"/>
          <w:shd w:val="clear" w:color="auto" w:fill="FFFFFF"/>
        </w:rPr>
      </w:pPr>
    </w:p>
    <w:p w14:paraId="35AA4216" w14:textId="77777777" w:rsidR="003874E1" w:rsidRDefault="003874E1">
      <w:pPr>
        <w:rPr>
          <w:rFonts w:ascii="Rubik" w:hAnsi="Rubik" w:cs="Rubik"/>
          <w:color w:val="253B61"/>
          <w:shd w:val="clear" w:color="auto" w:fill="FFFFFF"/>
        </w:rPr>
      </w:pPr>
    </w:p>
    <w:p w14:paraId="68072A86" w14:textId="77777777" w:rsidR="003874E1" w:rsidRDefault="003874E1">
      <w:pPr>
        <w:rPr>
          <w:rFonts w:ascii="Rubik" w:hAnsi="Rubik" w:cs="Rubik"/>
          <w:color w:val="253B61"/>
          <w:shd w:val="clear" w:color="auto" w:fill="FFFFFF"/>
        </w:rPr>
      </w:pPr>
    </w:p>
    <w:p w14:paraId="2B03E256" w14:textId="77777777" w:rsidR="003874E1" w:rsidRDefault="003874E1">
      <w:pPr>
        <w:rPr>
          <w:rFonts w:ascii="Rubik" w:hAnsi="Rubik" w:cs="Rubik"/>
          <w:color w:val="253B61"/>
          <w:shd w:val="clear" w:color="auto" w:fill="FFFFFF"/>
        </w:rPr>
      </w:pPr>
    </w:p>
    <w:p w14:paraId="07C58DA6" w14:textId="77777777" w:rsidR="003874E1" w:rsidRDefault="003874E1">
      <w:pPr>
        <w:rPr>
          <w:rFonts w:ascii="Rubik" w:hAnsi="Rubik" w:cs="Rubik"/>
          <w:color w:val="253B61"/>
          <w:shd w:val="clear" w:color="auto" w:fill="FFFFFF"/>
        </w:rPr>
      </w:pPr>
    </w:p>
    <w:p w14:paraId="643A3373" w14:textId="77777777" w:rsidR="003874E1" w:rsidRPr="007C45DB" w:rsidRDefault="003874E1">
      <w:pPr>
        <w:rPr>
          <w:rFonts w:ascii="Rubik" w:hAnsi="Rubik" w:cs="Rubik"/>
          <w:color w:val="253B61"/>
          <w:shd w:val="clear" w:color="auto" w:fill="FFFFFF"/>
        </w:rPr>
      </w:pPr>
    </w:p>
    <w:sectPr w:rsidR="003874E1" w:rsidRPr="007C45DB" w:rsidSect="000F35C9">
      <w:headerReference w:type="default" r:id="rId17"/>
      <w:footerReference w:type="default" r:id="rId18"/>
      <w:headerReference w:type="first" r:id="rId19"/>
      <w:footerReference w:type="first" r:id="rId20"/>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E9BF" w14:textId="77777777" w:rsidR="00190CDE" w:rsidRDefault="00190CDE" w:rsidP="00FC5C88">
      <w:pPr>
        <w:spacing w:after="0"/>
      </w:pPr>
      <w:r>
        <w:separator/>
      </w:r>
    </w:p>
  </w:endnote>
  <w:endnote w:type="continuationSeparator" w:id="0">
    <w:p w14:paraId="2C361F1E" w14:textId="77777777" w:rsidR="00190CDE" w:rsidRDefault="00190CDE" w:rsidP="00FC5C88">
      <w:pPr>
        <w:spacing w:after="0"/>
      </w:pPr>
      <w:r>
        <w:continuationSeparator/>
      </w:r>
    </w:p>
  </w:endnote>
  <w:endnote w:type="continuationNotice" w:id="1">
    <w:p w14:paraId="4D71EFA7" w14:textId="77777777" w:rsidR="00190CDE" w:rsidRDefault="00190C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Arial"/>
    <w:charset w:val="00"/>
    <w:family w:val="auto"/>
    <w:pitch w:val="variable"/>
    <w:sig w:usb0="A0002A6F" w:usb1="C000205B" w:usb2="00000000" w:usb3="00000000" w:csb0="000000F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ubik SemiBold">
    <w:altName w:val="Arial"/>
    <w:charset w:val="00"/>
    <w:family w:val="auto"/>
    <w:pitch w:val="variable"/>
    <w:sig w:usb0="A0002A6F" w:usb1="C000205B" w:usb2="00000000" w:usb3="00000000" w:csb0="000000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5FAD" w14:textId="6F8BA387" w:rsidR="002800D9" w:rsidRPr="002800D9" w:rsidRDefault="00FA2951" w:rsidP="00FA2951">
    <w:pPr>
      <w:pStyle w:val="Footer"/>
      <w:tabs>
        <w:tab w:val="clear" w:pos="4513"/>
        <w:tab w:val="clear" w:pos="9026"/>
        <w:tab w:val="right" w:pos="10466"/>
      </w:tabs>
      <w:rPr>
        <w:rFonts w:ascii="Rubik" w:hAnsi="Rubik" w:cs="Rubik"/>
        <w:color w:val="253B61" w:themeColor="accent1" w:themeShade="BF"/>
        <w:sz w:val="20"/>
        <w:szCs w:val="20"/>
      </w:rPr>
    </w:pPr>
    <w:r w:rsidRPr="002800D9">
      <w:rPr>
        <w:rFonts w:ascii="Rubik" w:hAnsi="Rubik" w:cs="Rubik"/>
        <w:noProof/>
        <w:color w:val="253B61" w:themeColor="accent1" w:themeShade="BF"/>
        <w:sz w:val="20"/>
        <w:szCs w:val="20"/>
      </w:rPr>
      <mc:AlternateContent>
        <mc:Choice Requires="wps">
          <w:drawing>
            <wp:anchor distT="0" distB="0" distL="114300" distR="114300" simplePos="0" relativeHeight="251658240" behindDoc="1" locked="0" layoutInCell="1" allowOverlap="1" wp14:anchorId="7F5C6033" wp14:editId="38685E29">
              <wp:simplePos x="0" y="0"/>
              <wp:positionH relativeFrom="margin">
                <wp:align>right</wp:align>
              </wp:positionH>
              <wp:positionV relativeFrom="paragraph">
                <wp:posOffset>273050</wp:posOffset>
              </wp:positionV>
              <wp:extent cx="3533775" cy="8890"/>
              <wp:effectExtent l="0" t="0" r="28575" b="29210"/>
              <wp:wrapNone/>
              <wp:docPr id="1395403767" name="Straight Connector 6"/>
              <wp:cNvGraphicFramePr/>
              <a:graphic xmlns:a="http://schemas.openxmlformats.org/drawingml/2006/main">
                <a:graphicData uri="http://schemas.microsoft.com/office/word/2010/wordprocessingShape">
                  <wps:wsp>
                    <wps:cNvCnPr/>
                    <wps:spPr>
                      <a:xfrm>
                        <a:off x="0" y="0"/>
                        <a:ext cx="3533775"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2BD8D" id="Straight Connector 6" o:spid="_x0000_s1026" style="position:absolute;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27.05pt,21.5pt" to="505.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" strokecolor="#325083 [3213]" strokeweight=".5pt">
              <v:stroke joinstyle="miter"/>
              <w10:wrap anchorx="margin"/>
            </v:line>
          </w:pict>
        </mc:Fallback>
      </mc:AlternateContent>
    </w:r>
    <w:r w:rsidR="002800D9" w:rsidRPr="002800D9">
      <w:rPr>
        <w:rFonts w:ascii="Rubik" w:hAnsi="Rubik" w:cs="Rubik"/>
        <w:noProof/>
        <w:color w:val="253B61" w:themeColor="accent1" w:themeShade="BF"/>
        <w:sz w:val="20"/>
        <w:szCs w:val="20"/>
      </w:rPr>
      <w:drawing>
        <wp:anchor distT="0" distB="0" distL="114300" distR="114300" simplePos="0" relativeHeight="251658241" behindDoc="1" locked="0" layoutInCell="1" allowOverlap="1" wp14:anchorId="339A4AF6" wp14:editId="259A2240">
          <wp:simplePos x="0" y="0"/>
          <wp:positionH relativeFrom="margin">
            <wp:posOffset>-104775</wp:posOffset>
          </wp:positionH>
          <wp:positionV relativeFrom="paragraph">
            <wp:posOffset>120650</wp:posOffset>
          </wp:positionV>
          <wp:extent cx="1901825" cy="737870"/>
          <wp:effectExtent l="0" t="0" r="0" b="5080"/>
          <wp:wrapNone/>
          <wp:docPr id="1927346080"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r>
      <w:rPr>
        <w:rFonts w:ascii="Rubik" w:hAnsi="Rubik" w:cs="Rubik"/>
        <w:color w:val="253B61" w:themeColor="accent1" w:themeShade="BF"/>
        <w:sz w:val="20"/>
        <w:szCs w:val="20"/>
      </w:rPr>
      <w:tab/>
      <w:t>1</w:t>
    </w:r>
  </w:p>
  <w:p w14:paraId="1FEF1C8F" w14:textId="24AE7756" w:rsidR="00FC5C88" w:rsidRPr="002800D9" w:rsidRDefault="001E07EF" w:rsidP="002800D9">
    <w:pPr>
      <w:pStyle w:val="Footer"/>
      <w:jc w:val="right"/>
      <w:rPr>
        <w:rFonts w:ascii="Rubik" w:hAnsi="Rubik" w:cs="Rubik"/>
        <w:color w:val="253B61" w:themeColor="accent1" w:themeShade="BF"/>
        <w:sz w:val="20"/>
        <w:szCs w:val="20"/>
      </w:rPr>
    </w:pPr>
    <w:r w:rsidRPr="002800D9">
      <w:rPr>
        <w:rFonts w:ascii="Rubik" w:hAnsi="Rubik" w:cs="Rubik"/>
        <w:color w:val="253B61" w:themeColor="accent1" w:themeShade="BF"/>
        <w:sz w:val="20"/>
        <w:szCs w:val="20"/>
      </w:rPr>
      <w:t xml:space="preserve">Version </w:t>
    </w:r>
    <w:r w:rsidR="00E03667">
      <w:rPr>
        <w:rFonts w:ascii="Rubik" w:hAnsi="Rubik" w:cs="Rubik"/>
        <w:color w:val="253B61" w:themeColor="accent1" w:themeShade="BF"/>
        <w:sz w:val="20"/>
        <w:szCs w:val="20"/>
      </w:rPr>
      <w:t>1.3</w:t>
    </w:r>
    <w:r w:rsidRPr="002800D9">
      <w:rPr>
        <w:rFonts w:ascii="Rubik" w:hAnsi="Rubik" w:cs="Rubik"/>
        <w:color w:val="253B61" w:themeColor="accent1" w:themeShade="BF"/>
        <w:sz w:val="20"/>
        <w:szCs w:val="20"/>
      </w:rPr>
      <w:t xml:space="preserve">                                           Last Reviewed: </w:t>
    </w:r>
    <w:r w:rsidR="00E03667">
      <w:rPr>
        <w:rFonts w:ascii="Rubik" w:hAnsi="Rubik" w:cs="Rubik"/>
        <w:color w:val="253B61" w:themeColor="accent1" w:themeShade="BF"/>
        <w:sz w:val="20"/>
        <w:szCs w:val="20"/>
      </w:rPr>
      <w:t>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657673A" w14:paraId="7AB83BEB" w14:textId="77777777" w:rsidTr="6657673A">
      <w:trPr>
        <w:trHeight w:val="300"/>
      </w:trPr>
      <w:tc>
        <w:tcPr>
          <w:tcW w:w="3485" w:type="dxa"/>
        </w:tcPr>
        <w:p w14:paraId="43DE538F" w14:textId="2FD0662E" w:rsidR="6657673A" w:rsidRDefault="6657673A" w:rsidP="6657673A">
          <w:pPr>
            <w:pStyle w:val="Header"/>
            <w:ind w:left="-115"/>
          </w:pPr>
        </w:p>
      </w:tc>
      <w:tc>
        <w:tcPr>
          <w:tcW w:w="3485" w:type="dxa"/>
        </w:tcPr>
        <w:p w14:paraId="5504E698" w14:textId="75CD352C" w:rsidR="6657673A" w:rsidRDefault="6657673A" w:rsidP="6657673A">
          <w:pPr>
            <w:pStyle w:val="Header"/>
            <w:jc w:val="center"/>
          </w:pPr>
        </w:p>
      </w:tc>
      <w:tc>
        <w:tcPr>
          <w:tcW w:w="3485" w:type="dxa"/>
        </w:tcPr>
        <w:p w14:paraId="1CE0D6E3" w14:textId="2F01C29B" w:rsidR="6657673A" w:rsidRDefault="6657673A" w:rsidP="6657673A">
          <w:pPr>
            <w:pStyle w:val="Header"/>
            <w:ind w:right="-115"/>
            <w:jc w:val="right"/>
          </w:pPr>
        </w:p>
      </w:tc>
    </w:tr>
  </w:tbl>
  <w:p w14:paraId="21A34C66" w14:textId="0039A23C" w:rsidR="009F5E45" w:rsidRDefault="009F5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673B" w14:textId="77777777" w:rsidR="00190CDE" w:rsidRDefault="00190CDE" w:rsidP="00FC5C88">
      <w:pPr>
        <w:spacing w:after="0"/>
      </w:pPr>
      <w:r>
        <w:separator/>
      </w:r>
    </w:p>
  </w:footnote>
  <w:footnote w:type="continuationSeparator" w:id="0">
    <w:p w14:paraId="6EBF9C43" w14:textId="77777777" w:rsidR="00190CDE" w:rsidRDefault="00190CDE" w:rsidP="00FC5C88">
      <w:pPr>
        <w:spacing w:after="0"/>
      </w:pPr>
      <w:r>
        <w:continuationSeparator/>
      </w:r>
    </w:p>
  </w:footnote>
  <w:footnote w:type="continuationNotice" w:id="1">
    <w:p w14:paraId="2C5A8717" w14:textId="77777777" w:rsidR="00190CDE" w:rsidRDefault="00190C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A272" w14:textId="4F817DE2" w:rsidR="009F5E45" w:rsidRDefault="009F5E45" w:rsidP="003A03BB">
    <w:pPr>
      <w:pStyle w:val="Header"/>
      <w:tabs>
        <w:tab w:val="clear" w:pos="4513"/>
        <w:tab w:val="clear" w:pos="9026"/>
        <w:tab w:val="left" w:pos="13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055B" w14:textId="7A0DF234" w:rsidR="009F5E45" w:rsidRDefault="00E03667" w:rsidP="00E03667">
    <w:pPr>
      <w:pStyle w:val="Header"/>
      <w:pBdr>
        <w:bottom w:val="single" w:sz="6" w:space="1" w:color="auto"/>
      </w:pBdr>
      <w:jc w:val="center"/>
    </w:pPr>
    <w:r>
      <w:object w:dxaOrig="9167" w:dyaOrig="1296" w14:anchorId="36806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7.75pt">
          <v:imagedata r:id="rId1" o:title=""/>
        </v:shape>
        <o:OLEObject Type="Embed" ProgID="MSPhotoEd.3" ShapeID="_x0000_i1025" DrawAspect="Content" ObjectID="_1834743222" r:id="rId2"/>
      </w:object>
    </w:r>
  </w:p>
  <w:p w14:paraId="121F3903" w14:textId="77777777" w:rsidR="00847838" w:rsidRDefault="00847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C6"/>
    <w:multiLevelType w:val="hybridMultilevel"/>
    <w:tmpl w:val="F0267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820EBC"/>
    <w:multiLevelType w:val="hybridMultilevel"/>
    <w:tmpl w:val="AB3CC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6116C"/>
    <w:multiLevelType w:val="hybridMultilevel"/>
    <w:tmpl w:val="5F3C150A"/>
    <w:lvl w:ilvl="0" w:tplc="5F522394">
      <w:start w:val="1"/>
      <w:numFmt w:val="decimal"/>
      <w:lvlText w:val="5.%1."/>
      <w:lvlJc w:val="left"/>
      <w:pPr>
        <w:ind w:left="720" w:hanging="360"/>
      </w:pPr>
      <w:rPr>
        <w:rFonts w:hint="default"/>
        <w:b/>
        <w:bCs/>
        <w:color w:val="17253F"/>
      </w:rPr>
    </w:lvl>
    <w:lvl w:ilvl="1" w:tplc="08090019">
      <w:start w:val="1"/>
      <w:numFmt w:val="lowerLetter"/>
      <w:pStyle w:val="Heading2"/>
      <w:lvlText w:val="%2."/>
      <w:lvlJc w:val="left"/>
      <w:pPr>
        <w:ind w:left="36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pStyle w:val="Heading7"/>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D72AB"/>
    <w:multiLevelType w:val="multilevel"/>
    <w:tmpl w:val="9CC6F00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E93E63"/>
    <w:multiLevelType w:val="hybridMultilevel"/>
    <w:tmpl w:val="D02C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A2025"/>
    <w:multiLevelType w:val="multilevel"/>
    <w:tmpl w:val="932C63EA"/>
    <w:lvl w:ilvl="0">
      <w:start w:val="6"/>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FBF43CD"/>
    <w:multiLevelType w:val="hybridMultilevel"/>
    <w:tmpl w:val="6E24E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61346"/>
    <w:multiLevelType w:val="hybridMultilevel"/>
    <w:tmpl w:val="E024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15062"/>
    <w:multiLevelType w:val="hybridMultilevel"/>
    <w:tmpl w:val="2026B2BA"/>
    <w:lvl w:ilvl="0" w:tplc="670472D0">
      <w:start w:val="2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9A1E4B"/>
    <w:multiLevelType w:val="hybridMultilevel"/>
    <w:tmpl w:val="54162DAE"/>
    <w:lvl w:ilvl="0" w:tplc="63EEFFC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D547A4"/>
    <w:multiLevelType w:val="hybridMultilevel"/>
    <w:tmpl w:val="675E1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3F55A5"/>
    <w:multiLevelType w:val="hybridMultilevel"/>
    <w:tmpl w:val="D69CA48E"/>
    <w:lvl w:ilvl="0" w:tplc="968AD11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D3705C"/>
    <w:multiLevelType w:val="multilevel"/>
    <w:tmpl w:val="85F22BB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7B1840"/>
    <w:multiLevelType w:val="multilevel"/>
    <w:tmpl w:val="F2B4632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4732C1"/>
    <w:multiLevelType w:val="hybridMultilevel"/>
    <w:tmpl w:val="941E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847D0"/>
    <w:multiLevelType w:val="hybridMultilevel"/>
    <w:tmpl w:val="8A3215C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6" w15:restartNumberingAfterBreak="0">
    <w:nsid w:val="33D402B9"/>
    <w:multiLevelType w:val="hybridMultilevel"/>
    <w:tmpl w:val="B3B8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D2D93"/>
    <w:multiLevelType w:val="multilevel"/>
    <w:tmpl w:val="427AD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B265228"/>
    <w:multiLevelType w:val="hybridMultilevel"/>
    <w:tmpl w:val="E8F0C4F2"/>
    <w:lvl w:ilvl="0" w:tplc="968AD11A">
      <w:numFmt w:val="bullet"/>
      <w:lvlText w:val="•"/>
      <w:lvlJc w:val="left"/>
      <w:pPr>
        <w:ind w:left="720" w:hanging="360"/>
      </w:pPr>
      <w:rPr>
        <w:rFonts w:ascii="Calibri" w:eastAsiaTheme="minorHAnsi" w:hAnsi="Calibri" w:cs="Calibri" w:hint="default"/>
      </w:rPr>
    </w:lvl>
    <w:lvl w:ilvl="1" w:tplc="0C02F20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7648C"/>
    <w:multiLevelType w:val="hybridMultilevel"/>
    <w:tmpl w:val="2272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12655F"/>
    <w:multiLevelType w:val="hybridMultilevel"/>
    <w:tmpl w:val="808CDDA6"/>
    <w:lvl w:ilvl="0" w:tplc="968AD11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405852"/>
    <w:multiLevelType w:val="multilevel"/>
    <w:tmpl w:val="6658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B73018"/>
    <w:multiLevelType w:val="hybridMultilevel"/>
    <w:tmpl w:val="8E2E1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B214B"/>
    <w:multiLevelType w:val="multilevel"/>
    <w:tmpl w:val="F144673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2B4E08"/>
    <w:multiLevelType w:val="hybridMultilevel"/>
    <w:tmpl w:val="A27CE886"/>
    <w:lvl w:ilvl="0" w:tplc="968AD1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31628D"/>
    <w:multiLevelType w:val="multilevel"/>
    <w:tmpl w:val="F3DE375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009CA"/>
    <w:multiLevelType w:val="hybridMultilevel"/>
    <w:tmpl w:val="CF8A6082"/>
    <w:lvl w:ilvl="0" w:tplc="DFF0AB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D23B5C"/>
    <w:multiLevelType w:val="hybridMultilevel"/>
    <w:tmpl w:val="055E441A"/>
    <w:lvl w:ilvl="0" w:tplc="968AD11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4110BA"/>
    <w:multiLevelType w:val="multilevel"/>
    <w:tmpl w:val="6658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CC3684"/>
    <w:multiLevelType w:val="multilevel"/>
    <w:tmpl w:val="632E598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71B75CB"/>
    <w:multiLevelType w:val="multilevel"/>
    <w:tmpl w:val="72AA4EE6"/>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0" w:firstLine="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0" w:firstLine="0"/>
      </w:pPr>
      <w:rPr>
        <w:rFonts w:ascii="Symbol" w:hAnsi="Symbol" w:hint="default"/>
        <w:sz w:val="20"/>
      </w:rPr>
    </w:lvl>
  </w:abstractNum>
  <w:abstractNum w:abstractNumId="31" w15:restartNumberingAfterBreak="0">
    <w:nsid w:val="58574552"/>
    <w:multiLevelType w:val="hybridMultilevel"/>
    <w:tmpl w:val="315CE422"/>
    <w:lvl w:ilvl="0" w:tplc="670472D0">
      <w:start w:val="2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58730942"/>
    <w:multiLevelType w:val="hybridMultilevel"/>
    <w:tmpl w:val="AC2C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0E6A19"/>
    <w:multiLevelType w:val="multilevel"/>
    <w:tmpl w:val="598CD14E"/>
    <w:lvl w:ilvl="0">
      <w:start w:val="2"/>
      <w:numFmt w:val="decimal"/>
      <w:pStyle w:val="Heading1"/>
      <w:lvlText w:val="%1."/>
      <w:lvlJc w:val="left"/>
      <w:pPr>
        <w:ind w:left="1070" w:hanging="360"/>
      </w:pPr>
      <w:rPr>
        <w:rFonts w:hint="default"/>
        <w:sz w:val="28"/>
        <w:szCs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5CDD5CDC"/>
    <w:multiLevelType w:val="hybridMultilevel"/>
    <w:tmpl w:val="3DBA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663997"/>
    <w:multiLevelType w:val="hybridMultilevel"/>
    <w:tmpl w:val="4D8C6BF0"/>
    <w:lvl w:ilvl="0" w:tplc="76120F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CA314C"/>
    <w:multiLevelType w:val="multilevel"/>
    <w:tmpl w:val="DEC2666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7F6AE2"/>
    <w:multiLevelType w:val="multilevel"/>
    <w:tmpl w:val="6D721CAA"/>
    <w:lvl w:ilvl="0">
      <w:start w:val="6"/>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90E0A62"/>
    <w:multiLevelType w:val="hybridMultilevel"/>
    <w:tmpl w:val="B0A06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5666B4"/>
    <w:multiLevelType w:val="hybridMultilevel"/>
    <w:tmpl w:val="1ABAADA8"/>
    <w:lvl w:ilvl="0" w:tplc="4880BE6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776237"/>
    <w:multiLevelType w:val="multilevel"/>
    <w:tmpl w:val="94422050"/>
    <w:lvl w:ilvl="0">
      <w:start w:val="6"/>
      <w:numFmt w:val="decimal"/>
      <w:lvlText w:val="%1."/>
      <w:lvlJc w:val="left"/>
      <w:pPr>
        <w:ind w:left="360" w:hanging="360"/>
      </w:pPr>
      <w:rPr>
        <w:rFonts w:hint="default"/>
      </w:rPr>
    </w:lvl>
    <w:lvl w:ilvl="1">
      <w:start w:val="4"/>
      <w:numFmt w:val="decimal"/>
      <w:isLgl/>
      <w:lvlText w:val="%1.%2"/>
      <w:lvlJc w:val="left"/>
      <w:pPr>
        <w:ind w:left="495"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78536149"/>
    <w:multiLevelType w:val="hybridMultilevel"/>
    <w:tmpl w:val="4168B6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CE112ED"/>
    <w:multiLevelType w:val="multilevel"/>
    <w:tmpl w:val="6658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8701679">
    <w:abstractNumId w:val="39"/>
  </w:num>
  <w:num w:numId="2" w16cid:durableId="114179016">
    <w:abstractNumId w:val="17"/>
  </w:num>
  <w:num w:numId="3" w16cid:durableId="1469322683">
    <w:abstractNumId w:val="40"/>
  </w:num>
  <w:num w:numId="4" w16cid:durableId="971327482">
    <w:abstractNumId w:val="33"/>
  </w:num>
  <w:num w:numId="5" w16cid:durableId="107162653">
    <w:abstractNumId w:val="41"/>
  </w:num>
  <w:num w:numId="6" w16cid:durableId="1061565276">
    <w:abstractNumId w:val="2"/>
  </w:num>
  <w:num w:numId="7" w16cid:durableId="381515950">
    <w:abstractNumId w:val="0"/>
  </w:num>
  <w:num w:numId="8" w16cid:durableId="119688196">
    <w:abstractNumId w:val="10"/>
  </w:num>
  <w:num w:numId="9" w16cid:durableId="1625310810">
    <w:abstractNumId w:val="15"/>
  </w:num>
  <w:num w:numId="10" w16cid:durableId="179708110">
    <w:abstractNumId w:val="7"/>
  </w:num>
  <w:num w:numId="11" w16cid:durableId="893539614">
    <w:abstractNumId w:val="4"/>
  </w:num>
  <w:num w:numId="12" w16cid:durableId="431555043">
    <w:abstractNumId w:val="38"/>
  </w:num>
  <w:num w:numId="13" w16cid:durableId="296113139">
    <w:abstractNumId w:val="8"/>
  </w:num>
  <w:num w:numId="14" w16cid:durableId="810828646">
    <w:abstractNumId w:val="31"/>
  </w:num>
  <w:num w:numId="15" w16cid:durableId="1912543758">
    <w:abstractNumId w:val="6"/>
  </w:num>
  <w:num w:numId="16" w16cid:durableId="1367409332">
    <w:abstractNumId w:val="16"/>
  </w:num>
  <w:num w:numId="17" w16cid:durableId="1581593797">
    <w:abstractNumId w:val="1"/>
  </w:num>
  <w:num w:numId="18" w16cid:durableId="1733969677">
    <w:abstractNumId w:val="42"/>
  </w:num>
  <w:num w:numId="19" w16cid:durableId="836262973">
    <w:abstractNumId w:val="28"/>
  </w:num>
  <w:num w:numId="20" w16cid:durableId="818766205">
    <w:abstractNumId w:val="21"/>
  </w:num>
  <w:num w:numId="21" w16cid:durableId="615873803">
    <w:abstractNumId w:val="30"/>
  </w:num>
  <w:num w:numId="22" w16cid:durableId="869031116">
    <w:abstractNumId w:val="22"/>
  </w:num>
  <w:num w:numId="23" w16cid:durableId="1313486482">
    <w:abstractNumId w:val="19"/>
  </w:num>
  <w:num w:numId="24" w16cid:durableId="833029536">
    <w:abstractNumId w:val="12"/>
  </w:num>
  <w:num w:numId="25" w16cid:durableId="1907449868">
    <w:abstractNumId w:val="3"/>
  </w:num>
  <w:num w:numId="26" w16cid:durableId="894199662">
    <w:abstractNumId w:val="13"/>
  </w:num>
  <w:num w:numId="27" w16cid:durableId="28458044">
    <w:abstractNumId w:val="36"/>
  </w:num>
  <w:num w:numId="28" w16cid:durableId="1124544839">
    <w:abstractNumId w:val="14"/>
  </w:num>
  <w:num w:numId="29" w16cid:durableId="564803292">
    <w:abstractNumId w:val="34"/>
  </w:num>
  <w:num w:numId="30" w16cid:durableId="1867911435">
    <w:abstractNumId w:val="29"/>
  </w:num>
  <w:num w:numId="31" w16cid:durableId="1657955282">
    <w:abstractNumId w:val="23"/>
  </w:num>
  <w:num w:numId="32" w16cid:durableId="536546286">
    <w:abstractNumId w:val="25"/>
  </w:num>
  <w:num w:numId="33" w16cid:durableId="756095621">
    <w:abstractNumId w:val="26"/>
  </w:num>
  <w:num w:numId="34" w16cid:durableId="300043530">
    <w:abstractNumId w:val="35"/>
  </w:num>
  <w:num w:numId="35" w16cid:durableId="930702598">
    <w:abstractNumId w:val="32"/>
  </w:num>
  <w:num w:numId="36" w16cid:durableId="1829666509">
    <w:abstractNumId w:val="18"/>
  </w:num>
  <w:num w:numId="37" w16cid:durableId="1407340670">
    <w:abstractNumId w:val="24"/>
  </w:num>
  <w:num w:numId="38" w16cid:durableId="285547552">
    <w:abstractNumId w:val="11"/>
  </w:num>
  <w:num w:numId="39" w16cid:durableId="564222789">
    <w:abstractNumId w:val="20"/>
  </w:num>
  <w:num w:numId="40" w16cid:durableId="1605653837">
    <w:abstractNumId w:val="9"/>
  </w:num>
  <w:num w:numId="41" w16cid:durableId="1793590018">
    <w:abstractNumId w:val="27"/>
  </w:num>
  <w:num w:numId="42" w16cid:durableId="1181628623">
    <w:abstractNumId w:val="5"/>
  </w:num>
  <w:num w:numId="43" w16cid:durableId="2034845807">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EF"/>
    <w:rsid w:val="00003F21"/>
    <w:rsid w:val="00004812"/>
    <w:rsid w:val="00006626"/>
    <w:rsid w:val="00014D21"/>
    <w:rsid w:val="00015219"/>
    <w:rsid w:val="000158F8"/>
    <w:rsid w:val="0002395C"/>
    <w:rsid w:val="00023DBE"/>
    <w:rsid w:val="0002442D"/>
    <w:rsid w:val="00024B2D"/>
    <w:rsid w:val="00037488"/>
    <w:rsid w:val="00040532"/>
    <w:rsid w:val="00041640"/>
    <w:rsid w:val="00047033"/>
    <w:rsid w:val="00060E82"/>
    <w:rsid w:val="0007266C"/>
    <w:rsid w:val="00073EB3"/>
    <w:rsid w:val="000762EB"/>
    <w:rsid w:val="00094875"/>
    <w:rsid w:val="000A3409"/>
    <w:rsid w:val="000A59B5"/>
    <w:rsid w:val="000A5CC3"/>
    <w:rsid w:val="000A7020"/>
    <w:rsid w:val="000B1197"/>
    <w:rsid w:val="000C53AF"/>
    <w:rsid w:val="000D22FC"/>
    <w:rsid w:val="000D32E5"/>
    <w:rsid w:val="000D6361"/>
    <w:rsid w:val="000D6D1D"/>
    <w:rsid w:val="000D76D6"/>
    <w:rsid w:val="000E38BE"/>
    <w:rsid w:val="000E4534"/>
    <w:rsid w:val="000E7B82"/>
    <w:rsid w:val="000F35C9"/>
    <w:rsid w:val="000F4028"/>
    <w:rsid w:val="000F557C"/>
    <w:rsid w:val="000F56AB"/>
    <w:rsid w:val="0012637B"/>
    <w:rsid w:val="00127CAF"/>
    <w:rsid w:val="001317BF"/>
    <w:rsid w:val="001323FA"/>
    <w:rsid w:val="00135CA2"/>
    <w:rsid w:val="00136E4B"/>
    <w:rsid w:val="00142BE8"/>
    <w:rsid w:val="0014598D"/>
    <w:rsid w:val="001536FD"/>
    <w:rsid w:val="00165CE6"/>
    <w:rsid w:val="0017091A"/>
    <w:rsid w:val="00171158"/>
    <w:rsid w:val="00177463"/>
    <w:rsid w:val="00180BC6"/>
    <w:rsid w:val="00185007"/>
    <w:rsid w:val="00190CDE"/>
    <w:rsid w:val="00195763"/>
    <w:rsid w:val="001A16FC"/>
    <w:rsid w:val="001A21A6"/>
    <w:rsid w:val="001AC104"/>
    <w:rsid w:val="001B3474"/>
    <w:rsid w:val="001B54DA"/>
    <w:rsid w:val="001C6C98"/>
    <w:rsid w:val="001D0CB2"/>
    <w:rsid w:val="001E07EF"/>
    <w:rsid w:val="001F02B1"/>
    <w:rsid w:val="001F2D98"/>
    <w:rsid w:val="001F761B"/>
    <w:rsid w:val="001F785A"/>
    <w:rsid w:val="001F7C22"/>
    <w:rsid w:val="002039E2"/>
    <w:rsid w:val="0022212F"/>
    <w:rsid w:val="0024134C"/>
    <w:rsid w:val="00244311"/>
    <w:rsid w:val="00250900"/>
    <w:rsid w:val="00253651"/>
    <w:rsid w:val="00257995"/>
    <w:rsid w:val="00271536"/>
    <w:rsid w:val="00274BAA"/>
    <w:rsid w:val="002800D9"/>
    <w:rsid w:val="002854DB"/>
    <w:rsid w:val="002857C5"/>
    <w:rsid w:val="00286197"/>
    <w:rsid w:val="0028790C"/>
    <w:rsid w:val="00291F19"/>
    <w:rsid w:val="00294D4E"/>
    <w:rsid w:val="00295246"/>
    <w:rsid w:val="00297106"/>
    <w:rsid w:val="002975B0"/>
    <w:rsid w:val="002A0FF4"/>
    <w:rsid w:val="002A28B3"/>
    <w:rsid w:val="002B7E23"/>
    <w:rsid w:val="002C1258"/>
    <w:rsid w:val="002D31D9"/>
    <w:rsid w:val="002D48EA"/>
    <w:rsid w:val="002D5E5D"/>
    <w:rsid w:val="002E0959"/>
    <w:rsid w:val="002E2564"/>
    <w:rsid w:val="002E3129"/>
    <w:rsid w:val="002E4B3E"/>
    <w:rsid w:val="002E6AAA"/>
    <w:rsid w:val="002F33E8"/>
    <w:rsid w:val="002F3904"/>
    <w:rsid w:val="002F6D68"/>
    <w:rsid w:val="002F79C5"/>
    <w:rsid w:val="00301A29"/>
    <w:rsid w:val="003024FD"/>
    <w:rsid w:val="00310298"/>
    <w:rsid w:val="00313563"/>
    <w:rsid w:val="00336D02"/>
    <w:rsid w:val="0033735E"/>
    <w:rsid w:val="00341E72"/>
    <w:rsid w:val="00342ECB"/>
    <w:rsid w:val="00354004"/>
    <w:rsid w:val="0036287F"/>
    <w:rsid w:val="003649BF"/>
    <w:rsid w:val="0036679F"/>
    <w:rsid w:val="00371CE9"/>
    <w:rsid w:val="00372906"/>
    <w:rsid w:val="0037665A"/>
    <w:rsid w:val="003874E1"/>
    <w:rsid w:val="00391E91"/>
    <w:rsid w:val="003939F1"/>
    <w:rsid w:val="003A0118"/>
    <w:rsid w:val="003A03BB"/>
    <w:rsid w:val="003A11ED"/>
    <w:rsid w:val="003A7317"/>
    <w:rsid w:val="003B60B9"/>
    <w:rsid w:val="003C0ACF"/>
    <w:rsid w:val="003C0EB2"/>
    <w:rsid w:val="003C2358"/>
    <w:rsid w:val="003C35DB"/>
    <w:rsid w:val="003C3987"/>
    <w:rsid w:val="003D7DA5"/>
    <w:rsid w:val="003E58D9"/>
    <w:rsid w:val="00400EF4"/>
    <w:rsid w:val="00401421"/>
    <w:rsid w:val="004024C4"/>
    <w:rsid w:val="00403158"/>
    <w:rsid w:val="00403C68"/>
    <w:rsid w:val="00411FF3"/>
    <w:rsid w:val="00413883"/>
    <w:rsid w:val="00421D52"/>
    <w:rsid w:val="00422755"/>
    <w:rsid w:val="004227FA"/>
    <w:rsid w:val="00427189"/>
    <w:rsid w:val="0042764B"/>
    <w:rsid w:val="00427794"/>
    <w:rsid w:val="00432DBF"/>
    <w:rsid w:val="00432F12"/>
    <w:rsid w:val="00433F11"/>
    <w:rsid w:val="00434C12"/>
    <w:rsid w:val="004352DA"/>
    <w:rsid w:val="00441486"/>
    <w:rsid w:val="00442F20"/>
    <w:rsid w:val="00443FF2"/>
    <w:rsid w:val="00445D03"/>
    <w:rsid w:val="00450BE1"/>
    <w:rsid w:val="00453361"/>
    <w:rsid w:val="00455272"/>
    <w:rsid w:val="004554D1"/>
    <w:rsid w:val="00456A66"/>
    <w:rsid w:val="00456A7C"/>
    <w:rsid w:val="00464AC4"/>
    <w:rsid w:val="004658CE"/>
    <w:rsid w:val="0047024A"/>
    <w:rsid w:val="004706DB"/>
    <w:rsid w:val="00476DFF"/>
    <w:rsid w:val="00477911"/>
    <w:rsid w:val="00485609"/>
    <w:rsid w:val="0049080F"/>
    <w:rsid w:val="00493A04"/>
    <w:rsid w:val="0049719B"/>
    <w:rsid w:val="0049746A"/>
    <w:rsid w:val="004A038B"/>
    <w:rsid w:val="004A2845"/>
    <w:rsid w:val="004A3741"/>
    <w:rsid w:val="004A3B85"/>
    <w:rsid w:val="004B24DD"/>
    <w:rsid w:val="004B3325"/>
    <w:rsid w:val="004B617C"/>
    <w:rsid w:val="004C3D35"/>
    <w:rsid w:val="004C7A75"/>
    <w:rsid w:val="004D17CB"/>
    <w:rsid w:val="004D6C4A"/>
    <w:rsid w:val="004E4C88"/>
    <w:rsid w:val="004E69C1"/>
    <w:rsid w:val="004F5166"/>
    <w:rsid w:val="004F7F9E"/>
    <w:rsid w:val="005009D4"/>
    <w:rsid w:val="00503197"/>
    <w:rsid w:val="0052083B"/>
    <w:rsid w:val="00520DC0"/>
    <w:rsid w:val="005225F7"/>
    <w:rsid w:val="00524C07"/>
    <w:rsid w:val="00525BE0"/>
    <w:rsid w:val="005264A3"/>
    <w:rsid w:val="00530464"/>
    <w:rsid w:val="00540E7D"/>
    <w:rsid w:val="0055773D"/>
    <w:rsid w:val="0056042B"/>
    <w:rsid w:val="00571485"/>
    <w:rsid w:val="00571D4B"/>
    <w:rsid w:val="005727B9"/>
    <w:rsid w:val="00576DEA"/>
    <w:rsid w:val="00583A5B"/>
    <w:rsid w:val="00587F00"/>
    <w:rsid w:val="00592FAB"/>
    <w:rsid w:val="005937B7"/>
    <w:rsid w:val="005A5D11"/>
    <w:rsid w:val="005A69BD"/>
    <w:rsid w:val="005B0AA7"/>
    <w:rsid w:val="005D0CB2"/>
    <w:rsid w:val="005E605F"/>
    <w:rsid w:val="005F08A9"/>
    <w:rsid w:val="005F1FF6"/>
    <w:rsid w:val="005F5766"/>
    <w:rsid w:val="00600F7B"/>
    <w:rsid w:val="00601428"/>
    <w:rsid w:val="00603011"/>
    <w:rsid w:val="006045C9"/>
    <w:rsid w:val="00605C75"/>
    <w:rsid w:val="00613850"/>
    <w:rsid w:val="00613E1C"/>
    <w:rsid w:val="0061480B"/>
    <w:rsid w:val="00617138"/>
    <w:rsid w:val="00623DE7"/>
    <w:rsid w:val="006241D2"/>
    <w:rsid w:val="006270EB"/>
    <w:rsid w:val="00643C76"/>
    <w:rsid w:val="00645D16"/>
    <w:rsid w:val="0064791B"/>
    <w:rsid w:val="00653AE4"/>
    <w:rsid w:val="00653C56"/>
    <w:rsid w:val="00654EAA"/>
    <w:rsid w:val="006562CF"/>
    <w:rsid w:val="00660984"/>
    <w:rsid w:val="00662297"/>
    <w:rsid w:val="00662B70"/>
    <w:rsid w:val="0066312F"/>
    <w:rsid w:val="00677D5D"/>
    <w:rsid w:val="00684A67"/>
    <w:rsid w:val="006874D7"/>
    <w:rsid w:val="00691156"/>
    <w:rsid w:val="00693CE5"/>
    <w:rsid w:val="0069400F"/>
    <w:rsid w:val="00697584"/>
    <w:rsid w:val="00697F6D"/>
    <w:rsid w:val="006A3BEE"/>
    <w:rsid w:val="006A4636"/>
    <w:rsid w:val="006A73E2"/>
    <w:rsid w:val="006B141D"/>
    <w:rsid w:val="006B1AA9"/>
    <w:rsid w:val="006B650D"/>
    <w:rsid w:val="006C0125"/>
    <w:rsid w:val="006D0B7F"/>
    <w:rsid w:val="006D57B0"/>
    <w:rsid w:val="006D664B"/>
    <w:rsid w:val="006D72F7"/>
    <w:rsid w:val="006E0E27"/>
    <w:rsid w:val="006E0F8A"/>
    <w:rsid w:val="006E1A17"/>
    <w:rsid w:val="006E2E2F"/>
    <w:rsid w:val="006E4AFB"/>
    <w:rsid w:val="006F20A7"/>
    <w:rsid w:val="006F25BD"/>
    <w:rsid w:val="006F3949"/>
    <w:rsid w:val="006F59AB"/>
    <w:rsid w:val="006F67AA"/>
    <w:rsid w:val="006F7ADE"/>
    <w:rsid w:val="007019B5"/>
    <w:rsid w:val="007023E2"/>
    <w:rsid w:val="0070339F"/>
    <w:rsid w:val="00705038"/>
    <w:rsid w:val="0070567A"/>
    <w:rsid w:val="0071674B"/>
    <w:rsid w:val="00720608"/>
    <w:rsid w:val="00722B5E"/>
    <w:rsid w:val="00724EDB"/>
    <w:rsid w:val="00725153"/>
    <w:rsid w:val="00725A24"/>
    <w:rsid w:val="00727930"/>
    <w:rsid w:val="00731FF3"/>
    <w:rsid w:val="00732D97"/>
    <w:rsid w:val="00741839"/>
    <w:rsid w:val="00742154"/>
    <w:rsid w:val="00743C3E"/>
    <w:rsid w:val="0075148F"/>
    <w:rsid w:val="0075517B"/>
    <w:rsid w:val="0076179C"/>
    <w:rsid w:val="007640BF"/>
    <w:rsid w:val="00774733"/>
    <w:rsid w:val="00776D25"/>
    <w:rsid w:val="007821BC"/>
    <w:rsid w:val="00782423"/>
    <w:rsid w:val="007864C0"/>
    <w:rsid w:val="00787F4D"/>
    <w:rsid w:val="0079534A"/>
    <w:rsid w:val="00797EB6"/>
    <w:rsid w:val="007A0239"/>
    <w:rsid w:val="007A4F0C"/>
    <w:rsid w:val="007A6635"/>
    <w:rsid w:val="007A7104"/>
    <w:rsid w:val="007B2F5F"/>
    <w:rsid w:val="007B5219"/>
    <w:rsid w:val="007C0010"/>
    <w:rsid w:val="007C1268"/>
    <w:rsid w:val="007C45DB"/>
    <w:rsid w:val="007C611C"/>
    <w:rsid w:val="007D3EC3"/>
    <w:rsid w:val="007D47D6"/>
    <w:rsid w:val="007D648A"/>
    <w:rsid w:val="007D7A17"/>
    <w:rsid w:val="007D7DAF"/>
    <w:rsid w:val="007E44A1"/>
    <w:rsid w:val="007E6659"/>
    <w:rsid w:val="007E6DC3"/>
    <w:rsid w:val="007F2228"/>
    <w:rsid w:val="007F3222"/>
    <w:rsid w:val="00800CFC"/>
    <w:rsid w:val="00801951"/>
    <w:rsid w:val="008041DF"/>
    <w:rsid w:val="00807910"/>
    <w:rsid w:val="008127EC"/>
    <w:rsid w:val="0081484D"/>
    <w:rsid w:val="00815A89"/>
    <w:rsid w:val="0081695E"/>
    <w:rsid w:val="00816EFA"/>
    <w:rsid w:val="00817432"/>
    <w:rsid w:val="0082051D"/>
    <w:rsid w:val="00820E1C"/>
    <w:rsid w:val="00821088"/>
    <w:rsid w:val="00826916"/>
    <w:rsid w:val="00830665"/>
    <w:rsid w:val="00830CB0"/>
    <w:rsid w:val="00831822"/>
    <w:rsid w:val="008332BE"/>
    <w:rsid w:val="00834009"/>
    <w:rsid w:val="008348B6"/>
    <w:rsid w:val="00847838"/>
    <w:rsid w:val="008540E1"/>
    <w:rsid w:val="00856807"/>
    <w:rsid w:val="00857E9B"/>
    <w:rsid w:val="00857FC9"/>
    <w:rsid w:val="00860612"/>
    <w:rsid w:val="00864E35"/>
    <w:rsid w:val="008658A6"/>
    <w:rsid w:val="008667E6"/>
    <w:rsid w:val="0087344B"/>
    <w:rsid w:val="00874900"/>
    <w:rsid w:val="00876F55"/>
    <w:rsid w:val="00881CFB"/>
    <w:rsid w:val="008846FD"/>
    <w:rsid w:val="00884DD7"/>
    <w:rsid w:val="00884F09"/>
    <w:rsid w:val="0088659E"/>
    <w:rsid w:val="00894610"/>
    <w:rsid w:val="00896DCD"/>
    <w:rsid w:val="00897637"/>
    <w:rsid w:val="00897732"/>
    <w:rsid w:val="008A30B8"/>
    <w:rsid w:val="008B075E"/>
    <w:rsid w:val="008C126A"/>
    <w:rsid w:val="008C21B1"/>
    <w:rsid w:val="008C42B1"/>
    <w:rsid w:val="008C56F1"/>
    <w:rsid w:val="008C6E7F"/>
    <w:rsid w:val="008D0E35"/>
    <w:rsid w:val="008D3214"/>
    <w:rsid w:val="008D71C1"/>
    <w:rsid w:val="008E2527"/>
    <w:rsid w:val="008F25EE"/>
    <w:rsid w:val="008F476F"/>
    <w:rsid w:val="008F4F73"/>
    <w:rsid w:val="008F5E15"/>
    <w:rsid w:val="00900801"/>
    <w:rsid w:val="00901F04"/>
    <w:rsid w:val="009153BE"/>
    <w:rsid w:val="00920716"/>
    <w:rsid w:val="00921CF4"/>
    <w:rsid w:val="009230BB"/>
    <w:rsid w:val="009248E3"/>
    <w:rsid w:val="00926022"/>
    <w:rsid w:val="00926B15"/>
    <w:rsid w:val="00931D6C"/>
    <w:rsid w:val="00931E8E"/>
    <w:rsid w:val="00933BF2"/>
    <w:rsid w:val="00934501"/>
    <w:rsid w:val="00936AF2"/>
    <w:rsid w:val="00936C52"/>
    <w:rsid w:val="00952969"/>
    <w:rsid w:val="00964892"/>
    <w:rsid w:val="0096561C"/>
    <w:rsid w:val="00966437"/>
    <w:rsid w:val="0097741E"/>
    <w:rsid w:val="009821C2"/>
    <w:rsid w:val="00983901"/>
    <w:rsid w:val="0099364C"/>
    <w:rsid w:val="009948B5"/>
    <w:rsid w:val="009950F4"/>
    <w:rsid w:val="009960E0"/>
    <w:rsid w:val="00997291"/>
    <w:rsid w:val="009A5279"/>
    <w:rsid w:val="009A7A01"/>
    <w:rsid w:val="009B2426"/>
    <w:rsid w:val="009B27DF"/>
    <w:rsid w:val="009B4979"/>
    <w:rsid w:val="009C0506"/>
    <w:rsid w:val="009C366D"/>
    <w:rsid w:val="009D3D4A"/>
    <w:rsid w:val="009D568E"/>
    <w:rsid w:val="009D6987"/>
    <w:rsid w:val="009F110D"/>
    <w:rsid w:val="009F1D0F"/>
    <w:rsid w:val="009F443B"/>
    <w:rsid w:val="009F4874"/>
    <w:rsid w:val="009F535E"/>
    <w:rsid w:val="009F5E45"/>
    <w:rsid w:val="009F7544"/>
    <w:rsid w:val="00A00133"/>
    <w:rsid w:val="00A07193"/>
    <w:rsid w:val="00A118EC"/>
    <w:rsid w:val="00A165C9"/>
    <w:rsid w:val="00A1754E"/>
    <w:rsid w:val="00A216F9"/>
    <w:rsid w:val="00A25DF0"/>
    <w:rsid w:val="00A26240"/>
    <w:rsid w:val="00A26790"/>
    <w:rsid w:val="00A31421"/>
    <w:rsid w:val="00A34618"/>
    <w:rsid w:val="00A445F3"/>
    <w:rsid w:val="00A44EBE"/>
    <w:rsid w:val="00A500E4"/>
    <w:rsid w:val="00A51C03"/>
    <w:rsid w:val="00A53CDB"/>
    <w:rsid w:val="00A55913"/>
    <w:rsid w:val="00A576A8"/>
    <w:rsid w:val="00A57D5F"/>
    <w:rsid w:val="00A737AE"/>
    <w:rsid w:val="00A8085A"/>
    <w:rsid w:val="00A80B65"/>
    <w:rsid w:val="00A8371C"/>
    <w:rsid w:val="00A865E3"/>
    <w:rsid w:val="00A9440D"/>
    <w:rsid w:val="00A94EF9"/>
    <w:rsid w:val="00A9677D"/>
    <w:rsid w:val="00AA1324"/>
    <w:rsid w:val="00AB06A0"/>
    <w:rsid w:val="00AB5820"/>
    <w:rsid w:val="00AC13E3"/>
    <w:rsid w:val="00AD222B"/>
    <w:rsid w:val="00AD52D3"/>
    <w:rsid w:val="00AD7602"/>
    <w:rsid w:val="00AD7D7D"/>
    <w:rsid w:val="00AE6038"/>
    <w:rsid w:val="00AE7B4D"/>
    <w:rsid w:val="00AF7661"/>
    <w:rsid w:val="00B0526B"/>
    <w:rsid w:val="00B1250B"/>
    <w:rsid w:val="00B14419"/>
    <w:rsid w:val="00B17685"/>
    <w:rsid w:val="00B177B6"/>
    <w:rsid w:val="00B22D0D"/>
    <w:rsid w:val="00B23DDF"/>
    <w:rsid w:val="00B24547"/>
    <w:rsid w:val="00B271B7"/>
    <w:rsid w:val="00B36650"/>
    <w:rsid w:val="00B41458"/>
    <w:rsid w:val="00B50E22"/>
    <w:rsid w:val="00B51396"/>
    <w:rsid w:val="00B53D8B"/>
    <w:rsid w:val="00B57DF8"/>
    <w:rsid w:val="00B6224D"/>
    <w:rsid w:val="00B646AB"/>
    <w:rsid w:val="00B64E79"/>
    <w:rsid w:val="00B65212"/>
    <w:rsid w:val="00B65800"/>
    <w:rsid w:val="00B77977"/>
    <w:rsid w:val="00B77FC5"/>
    <w:rsid w:val="00B814B5"/>
    <w:rsid w:val="00B83C44"/>
    <w:rsid w:val="00B865F7"/>
    <w:rsid w:val="00B90741"/>
    <w:rsid w:val="00BA1458"/>
    <w:rsid w:val="00BA5B61"/>
    <w:rsid w:val="00BA628B"/>
    <w:rsid w:val="00BA7E92"/>
    <w:rsid w:val="00BB0023"/>
    <w:rsid w:val="00BB3920"/>
    <w:rsid w:val="00BB3E70"/>
    <w:rsid w:val="00BB6901"/>
    <w:rsid w:val="00BC04D3"/>
    <w:rsid w:val="00BC4E4B"/>
    <w:rsid w:val="00BC6D60"/>
    <w:rsid w:val="00BD0987"/>
    <w:rsid w:val="00BD16F8"/>
    <w:rsid w:val="00BE0AF0"/>
    <w:rsid w:val="00BE0C83"/>
    <w:rsid w:val="00BF1ABB"/>
    <w:rsid w:val="00BF3DDA"/>
    <w:rsid w:val="00BF6758"/>
    <w:rsid w:val="00BF6D3F"/>
    <w:rsid w:val="00BF79F8"/>
    <w:rsid w:val="00C040D1"/>
    <w:rsid w:val="00C148CD"/>
    <w:rsid w:val="00C25BB2"/>
    <w:rsid w:val="00C3255B"/>
    <w:rsid w:val="00C33694"/>
    <w:rsid w:val="00C40406"/>
    <w:rsid w:val="00C40999"/>
    <w:rsid w:val="00C40D97"/>
    <w:rsid w:val="00C42E8A"/>
    <w:rsid w:val="00C44D78"/>
    <w:rsid w:val="00C5542D"/>
    <w:rsid w:val="00C56693"/>
    <w:rsid w:val="00C5779D"/>
    <w:rsid w:val="00C60905"/>
    <w:rsid w:val="00C61BA5"/>
    <w:rsid w:val="00C664E1"/>
    <w:rsid w:val="00C66D2B"/>
    <w:rsid w:val="00C725E8"/>
    <w:rsid w:val="00C7543B"/>
    <w:rsid w:val="00C82FE9"/>
    <w:rsid w:val="00C87408"/>
    <w:rsid w:val="00C908A0"/>
    <w:rsid w:val="00C91D95"/>
    <w:rsid w:val="00C92E72"/>
    <w:rsid w:val="00C9535D"/>
    <w:rsid w:val="00C970CB"/>
    <w:rsid w:val="00CA054D"/>
    <w:rsid w:val="00CA3163"/>
    <w:rsid w:val="00CB0758"/>
    <w:rsid w:val="00CB20C1"/>
    <w:rsid w:val="00CB38E6"/>
    <w:rsid w:val="00CB4350"/>
    <w:rsid w:val="00CB5161"/>
    <w:rsid w:val="00CC29DF"/>
    <w:rsid w:val="00CC384F"/>
    <w:rsid w:val="00CC600A"/>
    <w:rsid w:val="00CD352C"/>
    <w:rsid w:val="00CD4DDB"/>
    <w:rsid w:val="00CF024E"/>
    <w:rsid w:val="00CF19F1"/>
    <w:rsid w:val="00CF26D8"/>
    <w:rsid w:val="00CF2C43"/>
    <w:rsid w:val="00CF39B6"/>
    <w:rsid w:val="00CF50E8"/>
    <w:rsid w:val="00CF6735"/>
    <w:rsid w:val="00CF7141"/>
    <w:rsid w:val="00CF7DC9"/>
    <w:rsid w:val="00D00454"/>
    <w:rsid w:val="00D0253A"/>
    <w:rsid w:val="00D0673C"/>
    <w:rsid w:val="00D11D69"/>
    <w:rsid w:val="00D23D7B"/>
    <w:rsid w:val="00D30E25"/>
    <w:rsid w:val="00D332A6"/>
    <w:rsid w:val="00D3754D"/>
    <w:rsid w:val="00D3789E"/>
    <w:rsid w:val="00D407BA"/>
    <w:rsid w:val="00D5266C"/>
    <w:rsid w:val="00D55C06"/>
    <w:rsid w:val="00D568F6"/>
    <w:rsid w:val="00D60DFC"/>
    <w:rsid w:val="00D61957"/>
    <w:rsid w:val="00D64FE4"/>
    <w:rsid w:val="00D659E3"/>
    <w:rsid w:val="00D705ED"/>
    <w:rsid w:val="00D748E5"/>
    <w:rsid w:val="00D757DF"/>
    <w:rsid w:val="00D77377"/>
    <w:rsid w:val="00D8173D"/>
    <w:rsid w:val="00D8247A"/>
    <w:rsid w:val="00D961A4"/>
    <w:rsid w:val="00D97C78"/>
    <w:rsid w:val="00DA7404"/>
    <w:rsid w:val="00DB3E6A"/>
    <w:rsid w:val="00DB4B08"/>
    <w:rsid w:val="00DC149F"/>
    <w:rsid w:val="00DD05D1"/>
    <w:rsid w:val="00DD72F6"/>
    <w:rsid w:val="00DE2313"/>
    <w:rsid w:val="00E01BFA"/>
    <w:rsid w:val="00E03667"/>
    <w:rsid w:val="00E05CF1"/>
    <w:rsid w:val="00E145CB"/>
    <w:rsid w:val="00E201CD"/>
    <w:rsid w:val="00E27553"/>
    <w:rsid w:val="00E30D0C"/>
    <w:rsid w:val="00E31A7A"/>
    <w:rsid w:val="00E31C50"/>
    <w:rsid w:val="00E32D0E"/>
    <w:rsid w:val="00E33705"/>
    <w:rsid w:val="00E37BDB"/>
    <w:rsid w:val="00E42505"/>
    <w:rsid w:val="00E427B2"/>
    <w:rsid w:val="00E4694F"/>
    <w:rsid w:val="00E46FF9"/>
    <w:rsid w:val="00E51437"/>
    <w:rsid w:val="00E550CD"/>
    <w:rsid w:val="00E5782C"/>
    <w:rsid w:val="00E604C6"/>
    <w:rsid w:val="00E61270"/>
    <w:rsid w:val="00E613C3"/>
    <w:rsid w:val="00E61C53"/>
    <w:rsid w:val="00E6342D"/>
    <w:rsid w:val="00E7184E"/>
    <w:rsid w:val="00E73D29"/>
    <w:rsid w:val="00E770DA"/>
    <w:rsid w:val="00E85B7C"/>
    <w:rsid w:val="00E87B30"/>
    <w:rsid w:val="00E91A74"/>
    <w:rsid w:val="00EA2186"/>
    <w:rsid w:val="00EB0B76"/>
    <w:rsid w:val="00EB43A4"/>
    <w:rsid w:val="00EB4EFF"/>
    <w:rsid w:val="00EB7C92"/>
    <w:rsid w:val="00EC3C28"/>
    <w:rsid w:val="00EC6373"/>
    <w:rsid w:val="00EE2326"/>
    <w:rsid w:val="00EE4975"/>
    <w:rsid w:val="00EE54EA"/>
    <w:rsid w:val="00EE734D"/>
    <w:rsid w:val="00EF187C"/>
    <w:rsid w:val="00EF1F5D"/>
    <w:rsid w:val="00EF36B0"/>
    <w:rsid w:val="00EF3E73"/>
    <w:rsid w:val="00EF51E0"/>
    <w:rsid w:val="00EF57B8"/>
    <w:rsid w:val="00EF5D00"/>
    <w:rsid w:val="00EF7567"/>
    <w:rsid w:val="00F11C8C"/>
    <w:rsid w:val="00F134D7"/>
    <w:rsid w:val="00F204A5"/>
    <w:rsid w:val="00F24374"/>
    <w:rsid w:val="00F417EE"/>
    <w:rsid w:val="00F45247"/>
    <w:rsid w:val="00F570CE"/>
    <w:rsid w:val="00F57FCC"/>
    <w:rsid w:val="00F622A2"/>
    <w:rsid w:val="00F633A2"/>
    <w:rsid w:val="00F64692"/>
    <w:rsid w:val="00F70B8A"/>
    <w:rsid w:val="00F71E22"/>
    <w:rsid w:val="00F7573F"/>
    <w:rsid w:val="00F7754A"/>
    <w:rsid w:val="00F81344"/>
    <w:rsid w:val="00F93B27"/>
    <w:rsid w:val="00F943EE"/>
    <w:rsid w:val="00F953AB"/>
    <w:rsid w:val="00F9656A"/>
    <w:rsid w:val="00FA09D7"/>
    <w:rsid w:val="00FA2951"/>
    <w:rsid w:val="00FA64A2"/>
    <w:rsid w:val="00FA67D3"/>
    <w:rsid w:val="00FA7F10"/>
    <w:rsid w:val="00FB344C"/>
    <w:rsid w:val="00FC4012"/>
    <w:rsid w:val="00FC454B"/>
    <w:rsid w:val="00FC5C88"/>
    <w:rsid w:val="00FD26E5"/>
    <w:rsid w:val="00FD65EF"/>
    <w:rsid w:val="00FE5683"/>
    <w:rsid w:val="00FE7CB1"/>
    <w:rsid w:val="00FF144A"/>
    <w:rsid w:val="00FF6A33"/>
    <w:rsid w:val="02166D0A"/>
    <w:rsid w:val="04F8BC92"/>
    <w:rsid w:val="050483FE"/>
    <w:rsid w:val="055239A5"/>
    <w:rsid w:val="0648BFFD"/>
    <w:rsid w:val="06D6D18A"/>
    <w:rsid w:val="0889DA67"/>
    <w:rsid w:val="08BDECF0"/>
    <w:rsid w:val="08BDFAEE"/>
    <w:rsid w:val="08EA9A2B"/>
    <w:rsid w:val="09F7B2F2"/>
    <w:rsid w:val="0A0E68C0"/>
    <w:rsid w:val="0A886DF6"/>
    <w:rsid w:val="0AF45DC0"/>
    <w:rsid w:val="0B33390B"/>
    <w:rsid w:val="0BC17B29"/>
    <w:rsid w:val="0D02D0F6"/>
    <w:rsid w:val="1008D35F"/>
    <w:rsid w:val="109DE911"/>
    <w:rsid w:val="11159D4D"/>
    <w:rsid w:val="13CC8D0E"/>
    <w:rsid w:val="13EE3AD3"/>
    <w:rsid w:val="1450050C"/>
    <w:rsid w:val="1676B17C"/>
    <w:rsid w:val="1678B3B3"/>
    <w:rsid w:val="167CF703"/>
    <w:rsid w:val="17042DD0"/>
    <w:rsid w:val="177AF550"/>
    <w:rsid w:val="18CD1C76"/>
    <w:rsid w:val="19FAA0E1"/>
    <w:rsid w:val="1A32694E"/>
    <w:rsid w:val="1A8AC986"/>
    <w:rsid w:val="1DBFBDCC"/>
    <w:rsid w:val="1E7176B8"/>
    <w:rsid w:val="216A0428"/>
    <w:rsid w:val="21CF930E"/>
    <w:rsid w:val="226D816D"/>
    <w:rsid w:val="22D585E1"/>
    <w:rsid w:val="23217B0D"/>
    <w:rsid w:val="2367BFE6"/>
    <w:rsid w:val="238DF594"/>
    <w:rsid w:val="245B6455"/>
    <w:rsid w:val="246EA7CE"/>
    <w:rsid w:val="252C1610"/>
    <w:rsid w:val="25BC5CC2"/>
    <w:rsid w:val="26259D0A"/>
    <w:rsid w:val="26591BCF"/>
    <w:rsid w:val="265AC7C8"/>
    <w:rsid w:val="26F9BCCA"/>
    <w:rsid w:val="27464653"/>
    <w:rsid w:val="27C5C39F"/>
    <w:rsid w:val="27DB47D0"/>
    <w:rsid w:val="2B9363D8"/>
    <w:rsid w:val="2BA9E8F1"/>
    <w:rsid w:val="2BBA938F"/>
    <w:rsid w:val="2BE7CF2E"/>
    <w:rsid w:val="2C63EBA3"/>
    <w:rsid w:val="2E96FC0F"/>
    <w:rsid w:val="2FDE29BA"/>
    <w:rsid w:val="3007EB9B"/>
    <w:rsid w:val="3081D6D7"/>
    <w:rsid w:val="3087F3B5"/>
    <w:rsid w:val="314D31AC"/>
    <w:rsid w:val="3276690C"/>
    <w:rsid w:val="33482726"/>
    <w:rsid w:val="33BBE27D"/>
    <w:rsid w:val="36288AED"/>
    <w:rsid w:val="3683B2CD"/>
    <w:rsid w:val="36BDE8BE"/>
    <w:rsid w:val="372F95EE"/>
    <w:rsid w:val="38612131"/>
    <w:rsid w:val="394AE841"/>
    <w:rsid w:val="3AF8814C"/>
    <w:rsid w:val="3B049DE3"/>
    <w:rsid w:val="3BE1F3ED"/>
    <w:rsid w:val="3CB02F8B"/>
    <w:rsid w:val="3DA496FA"/>
    <w:rsid w:val="3DB4751F"/>
    <w:rsid w:val="3DF4C2B0"/>
    <w:rsid w:val="3EFBAEE2"/>
    <w:rsid w:val="43D30C3D"/>
    <w:rsid w:val="43F9A3F8"/>
    <w:rsid w:val="4413019B"/>
    <w:rsid w:val="449EC529"/>
    <w:rsid w:val="453DEA3F"/>
    <w:rsid w:val="45ACB2E9"/>
    <w:rsid w:val="4644FFFB"/>
    <w:rsid w:val="468D50E9"/>
    <w:rsid w:val="47409BDD"/>
    <w:rsid w:val="4823B0BD"/>
    <w:rsid w:val="49D81E3C"/>
    <w:rsid w:val="4A677A9A"/>
    <w:rsid w:val="4A9F8C41"/>
    <w:rsid w:val="4B1F945B"/>
    <w:rsid w:val="4B31F9E1"/>
    <w:rsid w:val="4B9428AF"/>
    <w:rsid w:val="4C137316"/>
    <w:rsid w:val="4C3B9D2D"/>
    <w:rsid w:val="4C87237B"/>
    <w:rsid w:val="4CDD1F82"/>
    <w:rsid w:val="4D6F409B"/>
    <w:rsid w:val="4DAFE1A3"/>
    <w:rsid w:val="4F5D140D"/>
    <w:rsid w:val="50482917"/>
    <w:rsid w:val="50BBC32D"/>
    <w:rsid w:val="51415F1C"/>
    <w:rsid w:val="520C6931"/>
    <w:rsid w:val="536A8F68"/>
    <w:rsid w:val="53D27B91"/>
    <w:rsid w:val="5460C61E"/>
    <w:rsid w:val="554D46B7"/>
    <w:rsid w:val="55A5280A"/>
    <w:rsid w:val="5647210B"/>
    <w:rsid w:val="56E91FCD"/>
    <w:rsid w:val="5919DFAA"/>
    <w:rsid w:val="59E0930D"/>
    <w:rsid w:val="59E10C16"/>
    <w:rsid w:val="5A831676"/>
    <w:rsid w:val="5B8D841C"/>
    <w:rsid w:val="5CD66E9E"/>
    <w:rsid w:val="5EBCDF39"/>
    <w:rsid w:val="610BC932"/>
    <w:rsid w:val="61E16FD9"/>
    <w:rsid w:val="62341AD2"/>
    <w:rsid w:val="62A79993"/>
    <w:rsid w:val="658588C0"/>
    <w:rsid w:val="6657673A"/>
    <w:rsid w:val="66A5EDB8"/>
    <w:rsid w:val="6742F6DA"/>
    <w:rsid w:val="6959D7D0"/>
    <w:rsid w:val="6E5F99BF"/>
    <w:rsid w:val="6EDCC807"/>
    <w:rsid w:val="6F5DC896"/>
    <w:rsid w:val="6F853C4A"/>
    <w:rsid w:val="6FF216DD"/>
    <w:rsid w:val="70D0E860"/>
    <w:rsid w:val="7166A45A"/>
    <w:rsid w:val="716B102A"/>
    <w:rsid w:val="71A685FC"/>
    <w:rsid w:val="72369F4A"/>
    <w:rsid w:val="73A277A4"/>
    <w:rsid w:val="7496E578"/>
    <w:rsid w:val="74A54343"/>
    <w:rsid w:val="75B9571E"/>
    <w:rsid w:val="75E8815D"/>
    <w:rsid w:val="7682D262"/>
    <w:rsid w:val="76D60930"/>
    <w:rsid w:val="78609C40"/>
    <w:rsid w:val="7912623A"/>
    <w:rsid w:val="79F89399"/>
    <w:rsid w:val="7BB65CA9"/>
    <w:rsid w:val="7C3AB95C"/>
    <w:rsid w:val="7EDC9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427EB"/>
  <w15:docId w15:val="{9368A4C5-FA35-4C96-B185-A7908748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324"/>
  </w:style>
  <w:style w:type="paragraph" w:styleId="Heading1">
    <w:name w:val="heading 1"/>
    <w:basedOn w:val="Normal"/>
    <w:next w:val="Normal"/>
    <w:link w:val="Heading1Char"/>
    <w:autoRedefine/>
    <w:qFormat/>
    <w:rsid w:val="007C45DB"/>
    <w:pPr>
      <w:numPr>
        <w:numId w:val="4"/>
      </w:numPr>
      <w:spacing w:after="120" w:afterAutospacing="0"/>
      <w:ind w:left="360"/>
      <w:outlineLvl w:val="0"/>
    </w:pPr>
    <w:rPr>
      <w:rFonts w:ascii="Rubik" w:eastAsia="Times New Roman" w:hAnsi="Rubik" w:cs="Rubik"/>
      <w:b/>
      <w:bCs/>
      <w:color w:val="253B61"/>
      <w:kern w:val="32"/>
      <w:sz w:val="28"/>
      <w:szCs w:val="28"/>
    </w:rPr>
  </w:style>
  <w:style w:type="paragraph" w:styleId="Heading2">
    <w:name w:val="heading 2"/>
    <w:basedOn w:val="Heading1"/>
    <w:next w:val="Normal"/>
    <w:link w:val="Heading2Char"/>
    <w:qFormat/>
    <w:rsid w:val="00171158"/>
    <w:pPr>
      <w:numPr>
        <w:ilvl w:val="1"/>
        <w:numId w:val="6"/>
      </w:numPr>
      <w:outlineLvl w:val="1"/>
    </w:pPr>
    <w:rPr>
      <w:kern w:val="28"/>
      <w:sz w:val="24"/>
    </w:rPr>
  </w:style>
  <w:style w:type="paragraph" w:styleId="Heading7">
    <w:name w:val="heading 7"/>
    <w:aliases w:val="Appendices"/>
    <w:basedOn w:val="Heading1"/>
    <w:next w:val="Normal"/>
    <w:link w:val="Heading7Char"/>
    <w:qFormat/>
    <w:rsid w:val="001E07EF"/>
    <w:pPr>
      <w:numPr>
        <w:ilvl w:val="6"/>
        <w:numId w:val="6"/>
      </w:numPr>
      <w:spacing w:after="60"/>
      <w:outlineLvl w:val="6"/>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pPr>
  </w:style>
  <w:style w:type="character" w:customStyle="1" w:styleId="FooterChar">
    <w:name w:val="Footer Char"/>
    <w:basedOn w:val="DefaultParagraphFont"/>
    <w:link w:val="Footer"/>
    <w:uiPriority w:val="99"/>
    <w:rsid w:val="00FC5C88"/>
  </w:style>
  <w:style w:type="paragraph" w:styleId="BodyText">
    <w:name w:val="Body Text"/>
    <w:basedOn w:val="Normal"/>
    <w:link w:val="BodyTextChar"/>
    <w:uiPriority w:val="1"/>
    <w:qFormat/>
    <w:rsid w:val="001E07EF"/>
    <w:pPr>
      <w:widowControl w:val="0"/>
      <w:autoSpaceDE w:val="0"/>
      <w:autoSpaceDN w:val="0"/>
      <w:spacing w:after="0"/>
    </w:pPr>
    <w:rPr>
      <w:rFonts w:ascii="Calibri Light" w:eastAsia="Calibri Light" w:hAnsi="Calibri Light" w:cs="Calibri Light"/>
      <w:sz w:val="28"/>
      <w:szCs w:val="28"/>
      <w:lang w:val="en-US"/>
    </w:rPr>
  </w:style>
  <w:style w:type="character" w:customStyle="1" w:styleId="BodyTextChar">
    <w:name w:val="Body Text Char"/>
    <w:basedOn w:val="DefaultParagraphFont"/>
    <w:link w:val="BodyText"/>
    <w:uiPriority w:val="1"/>
    <w:rsid w:val="001E07EF"/>
    <w:rPr>
      <w:rFonts w:ascii="Calibri Light" w:eastAsia="Calibri Light" w:hAnsi="Calibri Light" w:cs="Calibri Light"/>
      <w:sz w:val="28"/>
      <w:szCs w:val="28"/>
      <w:lang w:val="en-US"/>
    </w:rPr>
  </w:style>
  <w:style w:type="paragraph" w:styleId="TOC1">
    <w:name w:val="toc 1"/>
    <w:basedOn w:val="Normal"/>
    <w:next w:val="Normal"/>
    <w:autoRedefine/>
    <w:uiPriority w:val="39"/>
    <w:rsid w:val="00576DEA"/>
    <w:pPr>
      <w:tabs>
        <w:tab w:val="left" w:pos="400"/>
        <w:tab w:val="right" w:leader="dot" w:pos="9639"/>
      </w:tabs>
      <w:spacing w:before="0" w:beforeAutospacing="0" w:after="0" w:afterAutospacing="0" w:line="276" w:lineRule="auto"/>
    </w:pPr>
    <w:rPr>
      <w:rFonts w:eastAsia="Times New Roman" w:cstheme="minorHAnsi"/>
      <w:b/>
      <w:bCs/>
      <w:noProof/>
      <w:color w:val="253B61" w:themeColor="text2" w:themeShade="BF"/>
      <w:kern w:val="28"/>
    </w:rPr>
  </w:style>
  <w:style w:type="paragraph" w:styleId="TOC2">
    <w:name w:val="toc 2"/>
    <w:basedOn w:val="Normal"/>
    <w:next w:val="Normal"/>
    <w:autoRedefine/>
    <w:uiPriority w:val="39"/>
    <w:rsid w:val="0079534A"/>
    <w:pPr>
      <w:tabs>
        <w:tab w:val="left" w:pos="880"/>
        <w:tab w:val="right" w:leader="dot" w:pos="9639"/>
      </w:tabs>
      <w:spacing w:before="0" w:beforeAutospacing="0" w:after="0" w:afterAutospacing="0" w:line="276" w:lineRule="auto"/>
      <w:ind w:left="198"/>
    </w:pPr>
    <w:rPr>
      <w:rFonts w:eastAsia="Times New Roman" w:cstheme="minorHAnsi"/>
      <w:noProof/>
      <w:color w:val="333333"/>
      <w:kern w:val="28"/>
      <w:lang w:eastAsia="en-GB"/>
    </w:rPr>
  </w:style>
  <w:style w:type="character" w:styleId="Hyperlink">
    <w:name w:val="Hyperlink"/>
    <w:basedOn w:val="DefaultParagraphFont"/>
    <w:uiPriority w:val="99"/>
    <w:rsid w:val="001E07EF"/>
    <w:rPr>
      <w:color w:val="0000FF"/>
      <w:u w:val="single"/>
    </w:rPr>
  </w:style>
  <w:style w:type="character" w:customStyle="1" w:styleId="Heading1Char">
    <w:name w:val="Heading 1 Char"/>
    <w:basedOn w:val="DefaultParagraphFont"/>
    <w:link w:val="Heading1"/>
    <w:rsid w:val="007C45DB"/>
    <w:rPr>
      <w:rFonts w:ascii="Rubik" w:eastAsia="Times New Roman" w:hAnsi="Rubik" w:cs="Rubik"/>
      <w:b/>
      <w:bCs/>
      <w:color w:val="253B61"/>
      <w:kern w:val="32"/>
      <w:sz w:val="28"/>
      <w:szCs w:val="28"/>
    </w:rPr>
  </w:style>
  <w:style w:type="character" w:customStyle="1" w:styleId="Heading2Char">
    <w:name w:val="Heading 2 Char"/>
    <w:basedOn w:val="DefaultParagraphFont"/>
    <w:link w:val="Heading2"/>
    <w:rsid w:val="00171158"/>
    <w:rPr>
      <w:rFonts w:eastAsia="Times New Roman" w:cstheme="minorHAnsi"/>
      <w:b/>
      <w:color w:val="253B61" w:themeColor="text2" w:themeShade="BF"/>
      <w:kern w:val="28"/>
      <w:sz w:val="24"/>
      <w:szCs w:val="28"/>
    </w:rPr>
  </w:style>
  <w:style w:type="character" w:customStyle="1" w:styleId="Heading7Char">
    <w:name w:val="Heading 7 Char"/>
    <w:aliases w:val="Appendices Char"/>
    <w:basedOn w:val="DefaultParagraphFont"/>
    <w:link w:val="Heading7"/>
    <w:rsid w:val="001E07EF"/>
    <w:rPr>
      <w:rFonts w:ascii="Verdana" w:eastAsia="Times New Roman" w:hAnsi="Verdana" w:cstheme="minorHAnsi"/>
      <w:b/>
      <w:color w:val="17253F"/>
      <w:kern w:val="32"/>
      <w:sz w:val="24"/>
      <w:szCs w:val="24"/>
    </w:rPr>
  </w:style>
  <w:style w:type="paragraph" w:customStyle="1" w:styleId="Head1Normal">
    <w:name w:val="Head1Normal"/>
    <w:basedOn w:val="Normal"/>
    <w:link w:val="Head1NormalChar"/>
    <w:rsid w:val="001E07EF"/>
    <w:pPr>
      <w:keepNext/>
      <w:spacing w:before="120" w:after="120"/>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E07EF"/>
    <w:rPr>
      <w:rFonts w:ascii="Verdana" w:eastAsia="Times New Roman" w:hAnsi="Verdana" w:cs="Arial"/>
      <w:color w:val="333333"/>
      <w:kern w:val="28"/>
      <w:sz w:val="20"/>
      <w:szCs w:val="20"/>
    </w:rPr>
  </w:style>
  <w:style w:type="character" w:styleId="UnresolvedMention">
    <w:name w:val="Unresolved Mention"/>
    <w:basedOn w:val="DefaultParagraphFont"/>
    <w:uiPriority w:val="99"/>
    <w:semiHidden/>
    <w:unhideWhenUsed/>
    <w:rsid w:val="00C92E72"/>
    <w:rPr>
      <w:color w:val="605E5C"/>
      <w:shd w:val="clear" w:color="auto" w:fill="E1DFDD"/>
    </w:rPr>
  </w:style>
  <w:style w:type="paragraph" w:styleId="ListParagraph">
    <w:name w:val="List Paragraph"/>
    <w:basedOn w:val="Normal"/>
    <w:uiPriority w:val="34"/>
    <w:qFormat/>
    <w:rsid w:val="00AB5820"/>
    <w:pPr>
      <w:ind w:left="720"/>
      <w:contextualSpacing/>
    </w:pPr>
  </w:style>
  <w:style w:type="paragraph" w:customStyle="1" w:styleId="paragraph">
    <w:name w:val="paragraph"/>
    <w:basedOn w:val="Normal"/>
    <w:rsid w:val="00FF6A33"/>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F6A33"/>
  </w:style>
  <w:style w:type="character" w:customStyle="1" w:styleId="eop">
    <w:name w:val="eop"/>
    <w:basedOn w:val="DefaultParagraphFont"/>
    <w:rsid w:val="00FF6A33"/>
  </w:style>
  <w:style w:type="character" w:styleId="CommentReference">
    <w:name w:val="annotation reference"/>
    <w:basedOn w:val="DefaultParagraphFont"/>
    <w:uiPriority w:val="99"/>
    <w:semiHidden/>
    <w:unhideWhenUsed/>
    <w:rsid w:val="000E38BE"/>
    <w:rPr>
      <w:sz w:val="16"/>
      <w:szCs w:val="16"/>
    </w:rPr>
  </w:style>
  <w:style w:type="paragraph" w:styleId="CommentText">
    <w:name w:val="annotation text"/>
    <w:basedOn w:val="Normal"/>
    <w:link w:val="CommentTextChar"/>
    <w:uiPriority w:val="99"/>
    <w:semiHidden/>
    <w:unhideWhenUsed/>
    <w:rsid w:val="000E38BE"/>
    <w:rPr>
      <w:sz w:val="20"/>
      <w:szCs w:val="20"/>
    </w:rPr>
  </w:style>
  <w:style w:type="character" w:customStyle="1" w:styleId="CommentTextChar">
    <w:name w:val="Comment Text Char"/>
    <w:basedOn w:val="DefaultParagraphFont"/>
    <w:link w:val="CommentText"/>
    <w:uiPriority w:val="99"/>
    <w:semiHidden/>
    <w:rsid w:val="000E38BE"/>
    <w:rPr>
      <w:sz w:val="20"/>
      <w:szCs w:val="20"/>
    </w:rPr>
  </w:style>
  <w:style w:type="paragraph" w:styleId="CommentSubject">
    <w:name w:val="annotation subject"/>
    <w:basedOn w:val="CommentText"/>
    <w:next w:val="CommentText"/>
    <w:link w:val="CommentSubjectChar"/>
    <w:uiPriority w:val="99"/>
    <w:semiHidden/>
    <w:unhideWhenUsed/>
    <w:rsid w:val="000E38BE"/>
    <w:rPr>
      <w:b/>
      <w:bCs/>
    </w:rPr>
  </w:style>
  <w:style w:type="character" w:customStyle="1" w:styleId="CommentSubjectChar">
    <w:name w:val="Comment Subject Char"/>
    <w:basedOn w:val="CommentTextChar"/>
    <w:link w:val="CommentSubject"/>
    <w:uiPriority w:val="99"/>
    <w:semiHidden/>
    <w:rsid w:val="000E38BE"/>
    <w:rPr>
      <w:b/>
      <w:bCs/>
      <w:sz w:val="20"/>
      <w:szCs w:val="20"/>
    </w:rPr>
  </w:style>
  <w:style w:type="paragraph" w:styleId="NormalWeb">
    <w:name w:val="Normal (Web)"/>
    <w:basedOn w:val="Normal"/>
    <w:uiPriority w:val="99"/>
    <w:unhideWhenUsed/>
    <w:rsid w:val="00411FF3"/>
    <w:rPr>
      <w:rFonts w:ascii="Times New Roman" w:eastAsia="Times New Roman" w:hAnsi="Times New Roman" w:cs="Times New Roman"/>
      <w:sz w:val="24"/>
      <w:szCs w:val="24"/>
      <w:lang w:eastAsia="en-GB"/>
    </w:rPr>
  </w:style>
  <w:style w:type="paragraph" w:styleId="NoSpacing">
    <w:name w:val="No Spacing"/>
    <w:uiPriority w:val="1"/>
    <w:qFormat/>
    <w:rsid w:val="00CA3163"/>
    <w:pPr>
      <w:spacing w:after="0"/>
    </w:pPr>
  </w:style>
  <w:style w:type="character" w:styleId="FollowedHyperlink">
    <w:name w:val="FollowedHyperlink"/>
    <w:basedOn w:val="DefaultParagraphFont"/>
    <w:uiPriority w:val="99"/>
    <w:semiHidden/>
    <w:unhideWhenUsed/>
    <w:rsid w:val="0087344B"/>
    <w:rPr>
      <w:color w:val="1290B6" w:themeColor="followedHyperlink"/>
      <w:u w:val="single"/>
    </w:rPr>
  </w:style>
  <w:style w:type="character" w:styleId="Emphasis">
    <w:name w:val="Emphasis"/>
    <w:basedOn w:val="DefaultParagraphFont"/>
    <w:uiPriority w:val="20"/>
    <w:qFormat/>
    <w:rsid w:val="0087344B"/>
    <w:rPr>
      <w:i/>
      <w:iCs/>
    </w:rPr>
  </w:style>
  <w:style w:type="paragraph" w:styleId="Revision">
    <w:name w:val="Revision"/>
    <w:hidden/>
    <w:uiPriority w:val="99"/>
    <w:semiHidden/>
    <w:rsid w:val="00354004"/>
    <w:pPr>
      <w:spacing w:after="0"/>
    </w:pPr>
  </w:style>
  <w:style w:type="paragraph" w:styleId="TOCHeading">
    <w:name w:val="TOC Heading"/>
    <w:basedOn w:val="Heading1"/>
    <w:next w:val="Normal"/>
    <w:uiPriority w:val="39"/>
    <w:unhideWhenUsed/>
    <w:qFormat/>
    <w:rsid w:val="004A038B"/>
    <w:pPr>
      <w:keepLines/>
      <w:spacing w:before="240" w:beforeAutospacing="0" w:after="0" w:line="259" w:lineRule="auto"/>
      <w:ind w:left="0"/>
      <w:outlineLvl w:val="9"/>
    </w:pPr>
    <w:rPr>
      <w:rFonts w:asciiTheme="majorHAnsi" w:eastAsiaTheme="majorEastAsia" w:hAnsiTheme="majorHAnsi" w:cstheme="majorBidi"/>
      <w:b w:val="0"/>
      <w:color w:val="253B61" w:themeColor="accent1" w:themeShade="BF"/>
      <w:kern w:val="0"/>
      <w:sz w:val="32"/>
      <w:szCs w:val="32"/>
      <w:lang w:val="en-US"/>
    </w:rPr>
  </w:style>
  <w:style w:type="paragraph" w:styleId="TOC3">
    <w:name w:val="toc 3"/>
    <w:basedOn w:val="Normal"/>
    <w:next w:val="Normal"/>
    <w:autoRedefine/>
    <w:uiPriority w:val="39"/>
    <w:unhideWhenUsed/>
    <w:rsid w:val="004A038B"/>
    <w:pPr>
      <w:spacing w:before="0" w:beforeAutospacing="0" w:afterAutospacing="0" w:line="259" w:lineRule="auto"/>
      <w:ind w:left="440"/>
    </w:pPr>
    <w:rPr>
      <w:rFonts w:eastAsiaTheme="minorEastAsia" w:cs="Times New Roman"/>
      <w:lang w:val="en-US"/>
    </w:rPr>
  </w:style>
  <w:style w:type="character" w:customStyle="1" w:styleId="ui-provider">
    <w:name w:val="ui-provider"/>
    <w:basedOn w:val="DefaultParagraphFont"/>
    <w:rsid w:val="001317BF"/>
  </w:style>
  <w:style w:type="table" w:styleId="TableGrid">
    <w:name w:val="Table Grid"/>
    <w:basedOn w:val="TableNormal"/>
    <w:uiPriority w:val="59"/>
    <w:rsid w:val="00FB4123"/>
    <w:pPr>
      <w:spacing w:after="0"/>
    </w:pPr>
    <w:tblPr>
      <w:tblBorders>
        <w:top w:val="single" w:sz="4" w:space="0" w:color="325083" w:themeColor="text1"/>
        <w:left w:val="single" w:sz="4" w:space="0" w:color="325083" w:themeColor="text1"/>
        <w:bottom w:val="single" w:sz="4" w:space="0" w:color="325083" w:themeColor="text1"/>
        <w:right w:val="single" w:sz="4" w:space="0" w:color="325083" w:themeColor="text1"/>
        <w:insideH w:val="single" w:sz="4" w:space="0" w:color="325083" w:themeColor="text1"/>
        <w:insideV w:val="single" w:sz="4" w:space="0" w:color="325083"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9275">
      <w:bodyDiv w:val="1"/>
      <w:marLeft w:val="0"/>
      <w:marRight w:val="0"/>
      <w:marTop w:val="0"/>
      <w:marBottom w:val="0"/>
      <w:divBdr>
        <w:top w:val="none" w:sz="0" w:space="0" w:color="auto"/>
        <w:left w:val="none" w:sz="0" w:space="0" w:color="auto"/>
        <w:bottom w:val="none" w:sz="0" w:space="0" w:color="auto"/>
        <w:right w:val="none" w:sz="0" w:space="0" w:color="auto"/>
      </w:divBdr>
    </w:div>
    <w:div w:id="123545295">
      <w:bodyDiv w:val="1"/>
      <w:marLeft w:val="0"/>
      <w:marRight w:val="0"/>
      <w:marTop w:val="0"/>
      <w:marBottom w:val="0"/>
      <w:divBdr>
        <w:top w:val="none" w:sz="0" w:space="0" w:color="auto"/>
        <w:left w:val="none" w:sz="0" w:space="0" w:color="auto"/>
        <w:bottom w:val="none" w:sz="0" w:space="0" w:color="auto"/>
        <w:right w:val="none" w:sz="0" w:space="0" w:color="auto"/>
      </w:divBdr>
    </w:div>
    <w:div w:id="128475975">
      <w:bodyDiv w:val="1"/>
      <w:marLeft w:val="0"/>
      <w:marRight w:val="0"/>
      <w:marTop w:val="0"/>
      <w:marBottom w:val="0"/>
      <w:divBdr>
        <w:top w:val="none" w:sz="0" w:space="0" w:color="auto"/>
        <w:left w:val="none" w:sz="0" w:space="0" w:color="auto"/>
        <w:bottom w:val="none" w:sz="0" w:space="0" w:color="auto"/>
        <w:right w:val="none" w:sz="0" w:space="0" w:color="auto"/>
      </w:divBdr>
    </w:div>
    <w:div w:id="219678425">
      <w:bodyDiv w:val="1"/>
      <w:marLeft w:val="0"/>
      <w:marRight w:val="0"/>
      <w:marTop w:val="0"/>
      <w:marBottom w:val="0"/>
      <w:divBdr>
        <w:top w:val="none" w:sz="0" w:space="0" w:color="auto"/>
        <w:left w:val="none" w:sz="0" w:space="0" w:color="auto"/>
        <w:bottom w:val="none" w:sz="0" w:space="0" w:color="auto"/>
        <w:right w:val="none" w:sz="0" w:space="0" w:color="auto"/>
      </w:divBdr>
    </w:div>
    <w:div w:id="334303191">
      <w:bodyDiv w:val="1"/>
      <w:marLeft w:val="0"/>
      <w:marRight w:val="0"/>
      <w:marTop w:val="0"/>
      <w:marBottom w:val="0"/>
      <w:divBdr>
        <w:top w:val="none" w:sz="0" w:space="0" w:color="auto"/>
        <w:left w:val="none" w:sz="0" w:space="0" w:color="auto"/>
        <w:bottom w:val="none" w:sz="0" w:space="0" w:color="auto"/>
        <w:right w:val="none" w:sz="0" w:space="0" w:color="auto"/>
      </w:divBdr>
    </w:div>
    <w:div w:id="349142219">
      <w:bodyDiv w:val="1"/>
      <w:marLeft w:val="0"/>
      <w:marRight w:val="0"/>
      <w:marTop w:val="0"/>
      <w:marBottom w:val="0"/>
      <w:divBdr>
        <w:top w:val="none" w:sz="0" w:space="0" w:color="auto"/>
        <w:left w:val="none" w:sz="0" w:space="0" w:color="auto"/>
        <w:bottom w:val="none" w:sz="0" w:space="0" w:color="auto"/>
        <w:right w:val="none" w:sz="0" w:space="0" w:color="auto"/>
      </w:divBdr>
    </w:div>
    <w:div w:id="613905820">
      <w:bodyDiv w:val="1"/>
      <w:marLeft w:val="0"/>
      <w:marRight w:val="0"/>
      <w:marTop w:val="0"/>
      <w:marBottom w:val="0"/>
      <w:divBdr>
        <w:top w:val="none" w:sz="0" w:space="0" w:color="auto"/>
        <w:left w:val="none" w:sz="0" w:space="0" w:color="auto"/>
        <w:bottom w:val="none" w:sz="0" w:space="0" w:color="auto"/>
        <w:right w:val="none" w:sz="0" w:space="0" w:color="auto"/>
      </w:divBdr>
    </w:div>
    <w:div w:id="773549847">
      <w:bodyDiv w:val="1"/>
      <w:marLeft w:val="0"/>
      <w:marRight w:val="0"/>
      <w:marTop w:val="0"/>
      <w:marBottom w:val="0"/>
      <w:divBdr>
        <w:top w:val="none" w:sz="0" w:space="0" w:color="auto"/>
        <w:left w:val="none" w:sz="0" w:space="0" w:color="auto"/>
        <w:bottom w:val="none" w:sz="0" w:space="0" w:color="auto"/>
        <w:right w:val="none" w:sz="0" w:space="0" w:color="auto"/>
      </w:divBdr>
    </w:div>
    <w:div w:id="902911372">
      <w:bodyDiv w:val="1"/>
      <w:marLeft w:val="0"/>
      <w:marRight w:val="0"/>
      <w:marTop w:val="0"/>
      <w:marBottom w:val="0"/>
      <w:divBdr>
        <w:top w:val="none" w:sz="0" w:space="0" w:color="auto"/>
        <w:left w:val="none" w:sz="0" w:space="0" w:color="auto"/>
        <w:bottom w:val="none" w:sz="0" w:space="0" w:color="auto"/>
        <w:right w:val="none" w:sz="0" w:space="0" w:color="auto"/>
      </w:divBdr>
    </w:div>
    <w:div w:id="909191839">
      <w:bodyDiv w:val="1"/>
      <w:marLeft w:val="0"/>
      <w:marRight w:val="0"/>
      <w:marTop w:val="0"/>
      <w:marBottom w:val="0"/>
      <w:divBdr>
        <w:top w:val="none" w:sz="0" w:space="0" w:color="auto"/>
        <w:left w:val="none" w:sz="0" w:space="0" w:color="auto"/>
        <w:bottom w:val="none" w:sz="0" w:space="0" w:color="auto"/>
        <w:right w:val="none" w:sz="0" w:space="0" w:color="auto"/>
      </w:divBdr>
    </w:div>
    <w:div w:id="1099447055">
      <w:bodyDiv w:val="1"/>
      <w:marLeft w:val="0"/>
      <w:marRight w:val="0"/>
      <w:marTop w:val="0"/>
      <w:marBottom w:val="0"/>
      <w:divBdr>
        <w:top w:val="none" w:sz="0" w:space="0" w:color="auto"/>
        <w:left w:val="none" w:sz="0" w:space="0" w:color="auto"/>
        <w:bottom w:val="none" w:sz="0" w:space="0" w:color="auto"/>
        <w:right w:val="none" w:sz="0" w:space="0" w:color="auto"/>
      </w:divBdr>
    </w:div>
    <w:div w:id="1358770279">
      <w:bodyDiv w:val="1"/>
      <w:marLeft w:val="0"/>
      <w:marRight w:val="0"/>
      <w:marTop w:val="0"/>
      <w:marBottom w:val="0"/>
      <w:divBdr>
        <w:top w:val="none" w:sz="0" w:space="0" w:color="auto"/>
        <w:left w:val="none" w:sz="0" w:space="0" w:color="auto"/>
        <w:bottom w:val="none" w:sz="0" w:space="0" w:color="auto"/>
        <w:right w:val="none" w:sz="0" w:space="0" w:color="auto"/>
      </w:divBdr>
    </w:div>
    <w:div w:id="1552960671">
      <w:bodyDiv w:val="1"/>
      <w:marLeft w:val="0"/>
      <w:marRight w:val="0"/>
      <w:marTop w:val="0"/>
      <w:marBottom w:val="0"/>
      <w:divBdr>
        <w:top w:val="none" w:sz="0" w:space="0" w:color="auto"/>
        <w:left w:val="none" w:sz="0" w:space="0" w:color="auto"/>
        <w:bottom w:val="none" w:sz="0" w:space="0" w:color="auto"/>
        <w:right w:val="none" w:sz="0" w:space="0" w:color="auto"/>
      </w:divBdr>
    </w:div>
    <w:div w:id="1557089397">
      <w:bodyDiv w:val="1"/>
      <w:marLeft w:val="0"/>
      <w:marRight w:val="0"/>
      <w:marTop w:val="0"/>
      <w:marBottom w:val="0"/>
      <w:divBdr>
        <w:top w:val="none" w:sz="0" w:space="0" w:color="auto"/>
        <w:left w:val="none" w:sz="0" w:space="0" w:color="auto"/>
        <w:bottom w:val="none" w:sz="0" w:space="0" w:color="auto"/>
        <w:right w:val="none" w:sz="0" w:space="0" w:color="auto"/>
      </w:divBdr>
    </w:div>
    <w:div w:id="1789927009">
      <w:bodyDiv w:val="1"/>
      <w:marLeft w:val="0"/>
      <w:marRight w:val="0"/>
      <w:marTop w:val="0"/>
      <w:marBottom w:val="0"/>
      <w:divBdr>
        <w:top w:val="none" w:sz="0" w:space="0" w:color="auto"/>
        <w:left w:val="none" w:sz="0" w:space="0" w:color="auto"/>
        <w:bottom w:val="none" w:sz="0" w:space="0" w:color="auto"/>
        <w:right w:val="none" w:sz="0" w:space="0" w:color="auto"/>
      </w:divBdr>
    </w:div>
    <w:div w:id="1821732412">
      <w:bodyDiv w:val="1"/>
      <w:marLeft w:val="0"/>
      <w:marRight w:val="0"/>
      <w:marTop w:val="0"/>
      <w:marBottom w:val="0"/>
      <w:divBdr>
        <w:top w:val="none" w:sz="0" w:space="0" w:color="auto"/>
        <w:left w:val="none" w:sz="0" w:space="0" w:color="auto"/>
        <w:bottom w:val="none" w:sz="0" w:space="0" w:color="auto"/>
        <w:right w:val="none" w:sz="0" w:space="0" w:color="auto"/>
      </w:divBdr>
    </w:div>
    <w:div w:id="1865970654">
      <w:bodyDiv w:val="1"/>
      <w:marLeft w:val="0"/>
      <w:marRight w:val="0"/>
      <w:marTop w:val="0"/>
      <w:marBottom w:val="0"/>
      <w:divBdr>
        <w:top w:val="none" w:sz="0" w:space="0" w:color="auto"/>
        <w:left w:val="none" w:sz="0" w:space="0" w:color="auto"/>
        <w:bottom w:val="none" w:sz="0" w:space="0" w:color="auto"/>
        <w:right w:val="none" w:sz="0" w:space="0" w:color="auto"/>
      </w:divBdr>
    </w:div>
    <w:div w:id="1969623161">
      <w:bodyDiv w:val="1"/>
      <w:marLeft w:val="0"/>
      <w:marRight w:val="0"/>
      <w:marTop w:val="0"/>
      <w:marBottom w:val="0"/>
      <w:divBdr>
        <w:top w:val="none" w:sz="0" w:space="0" w:color="auto"/>
        <w:left w:val="none" w:sz="0" w:space="0" w:color="auto"/>
        <w:bottom w:val="none" w:sz="0" w:space="0" w:color="auto"/>
        <w:right w:val="none" w:sz="0" w:space="0" w:color="auto"/>
      </w:divBdr>
    </w:div>
    <w:div w:id="1997224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00/36/section/7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HCWGMPDPO@wales.nhs.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uk/ukpga/2000/36/section/3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rgylemedicalgroup.co.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04/3244/regulation/4/mad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126808\Downloads\DPOSS-Document%20(1).dotx" TargetMode="External"/></Relationships>
</file>

<file path=word/theme/theme1.xml><?xml version="1.0" encoding="utf-8"?>
<a:theme xmlns:a="http://schemas.openxmlformats.org/drawingml/2006/main" name="2024branding">
  <a:themeElements>
    <a:clrScheme name="DHCW 2023">
      <a:dk1>
        <a:srgbClr val="325083"/>
      </a:dk1>
      <a:lt1>
        <a:sysClr val="window" lastClr="FFFFFF"/>
      </a:lt1>
      <a:dk2>
        <a:srgbClr val="325083"/>
      </a:dk2>
      <a:lt2>
        <a:srgbClr val="DBF2F7"/>
      </a:lt2>
      <a:accent1>
        <a:srgbClr val="325083"/>
      </a:accent1>
      <a:accent2>
        <a:srgbClr val="12A3C9"/>
      </a:accent2>
      <a:accent3>
        <a:srgbClr val="C4E9F2"/>
      </a:accent3>
      <a:accent4>
        <a:srgbClr val="1B294A"/>
      </a:accent4>
      <a:accent5>
        <a:srgbClr val="F8CA4D"/>
      </a:accent5>
      <a:accent6>
        <a:srgbClr val="BACAE4"/>
      </a:accent6>
      <a:hlink>
        <a:srgbClr val="1290B6"/>
      </a:hlink>
      <a:folHlink>
        <a:srgbClr val="1290B6"/>
      </a:folHlink>
    </a:clrScheme>
    <a:fontScheme name="DHCW - RUBIK">
      <a:majorFont>
        <a:latin typeface="Rubik SemiBold"/>
        <a:ea typeface=""/>
        <a:cs typeface=""/>
      </a:majorFont>
      <a:minorFont>
        <a:latin typeface="Rubi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2024branding" id="{9E8ED03B-4898-42F7-A249-3627A38CCDDC}" vid="{BE550EEF-0B96-460A-9ACB-98B0CBD0F4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8083631dd98194f55ddd1a5c403467d7">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cd691cbb7764edc6024f8daa9c377906"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SharedWithUsers xmlns="b3b81ff7-2708-4fbd-9e97-66d034567ccc">
      <UserInfo>
        <DisplayName>Arran Evans (DHCW - Information Governance)</DisplayName>
        <AccountId>19</AccountId>
        <AccountType/>
      </UserInfo>
      <UserInfo>
        <DisplayName>Rebecca Marino (DHCW - Information Governance)</DisplayName>
        <AccountId>31</AccountId>
        <AccountType/>
      </UserInfo>
      <UserInfo>
        <DisplayName>Francesca Harries (DHCW - Information Governance)</DisplayName>
        <AccountId>20</AccountId>
        <AccountType/>
      </UserInfo>
      <UserInfo>
        <DisplayName>Abigail Warren (DHCW - Information Governance)</DisplayName>
        <AccountId>38</AccountId>
        <AccountType/>
      </UserInfo>
    </SharedWithUsers>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4775334-2CF4-4C26-902D-D9A074A12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2EA70-A5A0-49D0-BC23-101FC735068D}">
  <ds:schemaRefs>
    <ds:schemaRef ds:uri="http://schemas.openxmlformats.org/officeDocument/2006/bibliography"/>
  </ds:schemaRefs>
</ds:datastoreItem>
</file>

<file path=customXml/itemProps3.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4.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DPOSS-Document (1).dotx</Template>
  <TotalTime>10</TotalTime>
  <Pages>17</Pages>
  <Words>6196</Words>
  <Characters>35323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Template Procedure Document</vt:lpstr>
    </vt:vector>
  </TitlesOfParts>
  <Company/>
  <LinksUpToDate>false</LinksUpToDate>
  <CharactersWithSpaces>41437</CharactersWithSpaces>
  <SharedDoc>false</SharedDoc>
  <HLinks>
    <vt:vector size="288" baseType="variant">
      <vt:variant>
        <vt:i4>7078011</vt:i4>
      </vt:variant>
      <vt:variant>
        <vt:i4>273</vt:i4>
      </vt:variant>
      <vt:variant>
        <vt:i4>0</vt:i4>
      </vt:variant>
      <vt:variant>
        <vt:i4>5</vt:i4>
      </vt:variant>
      <vt:variant>
        <vt:lpwstr>https://www.legislation.gov.uk/ukpga/2000/36/section/36</vt:lpwstr>
      </vt:variant>
      <vt:variant>
        <vt:lpwstr/>
      </vt:variant>
      <vt:variant>
        <vt:i4>7929919</vt:i4>
      </vt:variant>
      <vt:variant>
        <vt:i4>270</vt:i4>
      </vt:variant>
      <vt:variant>
        <vt:i4>0</vt:i4>
      </vt:variant>
      <vt:variant>
        <vt:i4>5</vt:i4>
      </vt:variant>
      <vt:variant>
        <vt:lpwstr>https://www.legislation.gov.uk/uksi/2004/3244/regulation/4/made</vt:lpwstr>
      </vt:variant>
      <vt:variant>
        <vt:lpwstr/>
      </vt:variant>
      <vt:variant>
        <vt:i4>2556016</vt:i4>
      </vt:variant>
      <vt:variant>
        <vt:i4>267</vt:i4>
      </vt:variant>
      <vt:variant>
        <vt:i4>0</vt:i4>
      </vt:variant>
      <vt:variant>
        <vt:i4>5</vt:i4>
      </vt:variant>
      <vt:variant>
        <vt:lpwstr>http://www.legislation.gov.uk/ukpga/2000/36/section/77</vt:lpwstr>
      </vt:variant>
      <vt:variant>
        <vt:lpwstr/>
      </vt:variant>
      <vt:variant>
        <vt:i4>4522035</vt:i4>
      </vt:variant>
      <vt:variant>
        <vt:i4>264</vt:i4>
      </vt:variant>
      <vt:variant>
        <vt:i4>0</vt:i4>
      </vt:variant>
      <vt:variant>
        <vt:i4>5</vt:i4>
      </vt:variant>
      <vt:variant>
        <vt:lpwstr>mailto:DHCWGMPDPO@wales.nhs.uk</vt:lpwstr>
      </vt:variant>
      <vt:variant>
        <vt:lpwstr/>
      </vt:variant>
      <vt:variant>
        <vt:i4>8257601</vt:i4>
      </vt:variant>
      <vt:variant>
        <vt:i4>261</vt:i4>
      </vt:variant>
      <vt:variant>
        <vt:i4>0</vt:i4>
      </vt:variant>
      <vt:variant>
        <vt:i4>5</vt:i4>
      </vt:variant>
      <vt:variant>
        <vt:lpwstr>mailto:DHCW.PHARMACYDPO@wales.nhs.uk</vt:lpwstr>
      </vt:variant>
      <vt:variant>
        <vt:lpwstr/>
      </vt:variant>
      <vt:variant>
        <vt:i4>1638456</vt:i4>
      </vt:variant>
      <vt:variant>
        <vt:i4>254</vt:i4>
      </vt:variant>
      <vt:variant>
        <vt:i4>0</vt:i4>
      </vt:variant>
      <vt:variant>
        <vt:i4>5</vt:i4>
      </vt:variant>
      <vt:variant>
        <vt:lpwstr/>
      </vt:variant>
      <vt:variant>
        <vt:lpwstr>_Toc165988493</vt:lpwstr>
      </vt:variant>
      <vt:variant>
        <vt:i4>1638456</vt:i4>
      </vt:variant>
      <vt:variant>
        <vt:i4>248</vt:i4>
      </vt:variant>
      <vt:variant>
        <vt:i4>0</vt:i4>
      </vt:variant>
      <vt:variant>
        <vt:i4>5</vt:i4>
      </vt:variant>
      <vt:variant>
        <vt:lpwstr/>
      </vt:variant>
      <vt:variant>
        <vt:lpwstr>_Toc165988492</vt:lpwstr>
      </vt:variant>
      <vt:variant>
        <vt:i4>1638456</vt:i4>
      </vt:variant>
      <vt:variant>
        <vt:i4>242</vt:i4>
      </vt:variant>
      <vt:variant>
        <vt:i4>0</vt:i4>
      </vt:variant>
      <vt:variant>
        <vt:i4>5</vt:i4>
      </vt:variant>
      <vt:variant>
        <vt:lpwstr/>
      </vt:variant>
      <vt:variant>
        <vt:lpwstr>_Toc165988491</vt:lpwstr>
      </vt:variant>
      <vt:variant>
        <vt:i4>1638456</vt:i4>
      </vt:variant>
      <vt:variant>
        <vt:i4>236</vt:i4>
      </vt:variant>
      <vt:variant>
        <vt:i4>0</vt:i4>
      </vt:variant>
      <vt:variant>
        <vt:i4>5</vt:i4>
      </vt:variant>
      <vt:variant>
        <vt:lpwstr/>
      </vt:variant>
      <vt:variant>
        <vt:lpwstr>_Toc165988490</vt:lpwstr>
      </vt:variant>
      <vt:variant>
        <vt:i4>1572920</vt:i4>
      </vt:variant>
      <vt:variant>
        <vt:i4>230</vt:i4>
      </vt:variant>
      <vt:variant>
        <vt:i4>0</vt:i4>
      </vt:variant>
      <vt:variant>
        <vt:i4>5</vt:i4>
      </vt:variant>
      <vt:variant>
        <vt:lpwstr/>
      </vt:variant>
      <vt:variant>
        <vt:lpwstr>_Toc165988489</vt:lpwstr>
      </vt:variant>
      <vt:variant>
        <vt:i4>1572920</vt:i4>
      </vt:variant>
      <vt:variant>
        <vt:i4>224</vt:i4>
      </vt:variant>
      <vt:variant>
        <vt:i4>0</vt:i4>
      </vt:variant>
      <vt:variant>
        <vt:i4>5</vt:i4>
      </vt:variant>
      <vt:variant>
        <vt:lpwstr/>
      </vt:variant>
      <vt:variant>
        <vt:lpwstr>_Toc165988488</vt:lpwstr>
      </vt:variant>
      <vt:variant>
        <vt:i4>1572920</vt:i4>
      </vt:variant>
      <vt:variant>
        <vt:i4>218</vt:i4>
      </vt:variant>
      <vt:variant>
        <vt:i4>0</vt:i4>
      </vt:variant>
      <vt:variant>
        <vt:i4>5</vt:i4>
      </vt:variant>
      <vt:variant>
        <vt:lpwstr/>
      </vt:variant>
      <vt:variant>
        <vt:lpwstr>_Toc165988487</vt:lpwstr>
      </vt:variant>
      <vt:variant>
        <vt:i4>1572920</vt:i4>
      </vt:variant>
      <vt:variant>
        <vt:i4>212</vt:i4>
      </vt:variant>
      <vt:variant>
        <vt:i4>0</vt:i4>
      </vt:variant>
      <vt:variant>
        <vt:i4>5</vt:i4>
      </vt:variant>
      <vt:variant>
        <vt:lpwstr/>
      </vt:variant>
      <vt:variant>
        <vt:lpwstr>_Toc165988486</vt:lpwstr>
      </vt:variant>
      <vt:variant>
        <vt:i4>1572920</vt:i4>
      </vt:variant>
      <vt:variant>
        <vt:i4>206</vt:i4>
      </vt:variant>
      <vt:variant>
        <vt:i4>0</vt:i4>
      </vt:variant>
      <vt:variant>
        <vt:i4>5</vt:i4>
      </vt:variant>
      <vt:variant>
        <vt:lpwstr/>
      </vt:variant>
      <vt:variant>
        <vt:lpwstr>_Toc165988485</vt:lpwstr>
      </vt:variant>
      <vt:variant>
        <vt:i4>1572920</vt:i4>
      </vt:variant>
      <vt:variant>
        <vt:i4>200</vt:i4>
      </vt:variant>
      <vt:variant>
        <vt:i4>0</vt:i4>
      </vt:variant>
      <vt:variant>
        <vt:i4>5</vt:i4>
      </vt:variant>
      <vt:variant>
        <vt:lpwstr/>
      </vt:variant>
      <vt:variant>
        <vt:lpwstr>_Toc165988484</vt:lpwstr>
      </vt:variant>
      <vt:variant>
        <vt:i4>1572920</vt:i4>
      </vt:variant>
      <vt:variant>
        <vt:i4>194</vt:i4>
      </vt:variant>
      <vt:variant>
        <vt:i4>0</vt:i4>
      </vt:variant>
      <vt:variant>
        <vt:i4>5</vt:i4>
      </vt:variant>
      <vt:variant>
        <vt:lpwstr/>
      </vt:variant>
      <vt:variant>
        <vt:lpwstr>_Toc165988483</vt:lpwstr>
      </vt:variant>
      <vt:variant>
        <vt:i4>1572920</vt:i4>
      </vt:variant>
      <vt:variant>
        <vt:i4>188</vt:i4>
      </vt:variant>
      <vt:variant>
        <vt:i4>0</vt:i4>
      </vt:variant>
      <vt:variant>
        <vt:i4>5</vt:i4>
      </vt:variant>
      <vt:variant>
        <vt:lpwstr/>
      </vt:variant>
      <vt:variant>
        <vt:lpwstr>_Toc165988482</vt:lpwstr>
      </vt:variant>
      <vt:variant>
        <vt:i4>1572920</vt:i4>
      </vt:variant>
      <vt:variant>
        <vt:i4>182</vt:i4>
      </vt:variant>
      <vt:variant>
        <vt:i4>0</vt:i4>
      </vt:variant>
      <vt:variant>
        <vt:i4>5</vt:i4>
      </vt:variant>
      <vt:variant>
        <vt:lpwstr/>
      </vt:variant>
      <vt:variant>
        <vt:lpwstr>_Toc165988481</vt:lpwstr>
      </vt:variant>
      <vt:variant>
        <vt:i4>1572920</vt:i4>
      </vt:variant>
      <vt:variant>
        <vt:i4>176</vt:i4>
      </vt:variant>
      <vt:variant>
        <vt:i4>0</vt:i4>
      </vt:variant>
      <vt:variant>
        <vt:i4>5</vt:i4>
      </vt:variant>
      <vt:variant>
        <vt:lpwstr/>
      </vt:variant>
      <vt:variant>
        <vt:lpwstr>_Toc165988480</vt:lpwstr>
      </vt:variant>
      <vt:variant>
        <vt:i4>1507384</vt:i4>
      </vt:variant>
      <vt:variant>
        <vt:i4>170</vt:i4>
      </vt:variant>
      <vt:variant>
        <vt:i4>0</vt:i4>
      </vt:variant>
      <vt:variant>
        <vt:i4>5</vt:i4>
      </vt:variant>
      <vt:variant>
        <vt:lpwstr/>
      </vt:variant>
      <vt:variant>
        <vt:lpwstr>_Toc165988479</vt:lpwstr>
      </vt:variant>
      <vt:variant>
        <vt:i4>1507384</vt:i4>
      </vt:variant>
      <vt:variant>
        <vt:i4>164</vt:i4>
      </vt:variant>
      <vt:variant>
        <vt:i4>0</vt:i4>
      </vt:variant>
      <vt:variant>
        <vt:i4>5</vt:i4>
      </vt:variant>
      <vt:variant>
        <vt:lpwstr/>
      </vt:variant>
      <vt:variant>
        <vt:lpwstr>_Toc165988478</vt:lpwstr>
      </vt:variant>
      <vt:variant>
        <vt:i4>1507384</vt:i4>
      </vt:variant>
      <vt:variant>
        <vt:i4>158</vt:i4>
      </vt:variant>
      <vt:variant>
        <vt:i4>0</vt:i4>
      </vt:variant>
      <vt:variant>
        <vt:i4>5</vt:i4>
      </vt:variant>
      <vt:variant>
        <vt:lpwstr/>
      </vt:variant>
      <vt:variant>
        <vt:lpwstr>_Toc165988477</vt:lpwstr>
      </vt:variant>
      <vt:variant>
        <vt:i4>1507384</vt:i4>
      </vt:variant>
      <vt:variant>
        <vt:i4>152</vt:i4>
      </vt:variant>
      <vt:variant>
        <vt:i4>0</vt:i4>
      </vt:variant>
      <vt:variant>
        <vt:i4>5</vt:i4>
      </vt:variant>
      <vt:variant>
        <vt:lpwstr/>
      </vt:variant>
      <vt:variant>
        <vt:lpwstr>_Toc165988476</vt:lpwstr>
      </vt:variant>
      <vt:variant>
        <vt:i4>1507384</vt:i4>
      </vt:variant>
      <vt:variant>
        <vt:i4>146</vt:i4>
      </vt:variant>
      <vt:variant>
        <vt:i4>0</vt:i4>
      </vt:variant>
      <vt:variant>
        <vt:i4>5</vt:i4>
      </vt:variant>
      <vt:variant>
        <vt:lpwstr/>
      </vt:variant>
      <vt:variant>
        <vt:lpwstr>_Toc165988475</vt:lpwstr>
      </vt:variant>
      <vt:variant>
        <vt:i4>1507384</vt:i4>
      </vt:variant>
      <vt:variant>
        <vt:i4>140</vt:i4>
      </vt:variant>
      <vt:variant>
        <vt:i4>0</vt:i4>
      </vt:variant>
      <vt:variant>
        <vt:i4>5</vt:i4>
      </vt:variant>
      <vt:variant>
        <vt:lpwstr/>
      </vt:variant>
      <vt:variant>
        <vt:lpwstr>_Toc165988474</vt:lpwstr>
      </vt:variant>
      <vt:variant>
        <vt:i4>1507384</vt:i4>
      </vt:variant>
      <vt:variant>
        <vt:i4>134</vt:i4>
      </vt:variant>
      <vt:variant>
        <vt:i4>0</vt:i4>
      </vt:variant>
      <vt:variant>
        <vt:i4>5</vt:i4>
      </vt:variant>
      <vt:variant>
        <vt:lpwstr/>
      </vt:variant>
      <vt:variant>
        <vt:lpwstr>_Toc165988473</vt:lpwstr>
      </vt:variant>
      <vt:variant>
        <vt:i4>1507384</vt:i4>
      </vt:variant>
      <vt:variant>
        <vt:i4>128</vt:i4>
      </vt:variant>
      <vt:variant>
        <vt:i4>0</vt:i4>
      </vt:variant>
      <vt:variant>
        <vt:i4>5</vt:i4>
      </vt:variant>
      <vt:variant>
        <vt:lpwstr/>
      </vt:variant>
      <vt:variant>
        <vt:lpwstr>_Toc165988472</vt:lpwstr>
      </vt:variant>
      <vt:variant>
        <vt:i4>1507384</vt:i4>
      </vt:variant>
      <vt:variant>
        <vt:i4>122</vt:i4>
      </vt:variant>
      <vt:variant>
        <vt:i4>0</vt:i4>
      </vt:variant>
      <vt:variant>
        <vt:i4>5</vt:i4>
      </vt:variant>
      <vt:variant>
        <vt:lpwstr/>
      </vt:variant>
      <vt:variant>
        <vt:lpwstr>_Toc165988471</vt:lpwstr>
      </vt:variant>
      <vt:variant>
        <vt:i4>1507384</vt:i4>
      </vt:variant>
      <vt:variant>
        <vt:i4>116</vt:i4>
      </vt:variant>
      <vt:variant>
        <vt:i4>0</vt:i4>
      </vt:variant>
      <vt:variant>
        <vt:i4>5</vt:i4>
      </vt:variant>
      <vt:variant>
        <vt:lpwstr/>
      </vt:variant>
      <vt:variant>
        <vt:lpwstr>_Toc165988470</vt:lpwstr>
      </vt:variant>
      <vt:variant>
        <vt:i4>1441848</vt:i4>
      </vt:variant>
      <vt:variant>
        <vt:i4>110</vt:i4>
      </vt:variant>
      <vt:variant>
        <vt:i4>0</vt:i4>
      </vt:variant>
      <vt:variant>
        <vt:i4>5</vt:i4>
      </vt:variant>
      <vt:variant>
        <vt:lpwstr/>
      </vt:variant>
      <vt:variant>
        <vt:lpwstr>_Toc165988469</vt:lpwstr>
      </vt:variant>
      <vt:variant>
        <vt:i4>1441848</vt:i4>
      </vt:variant>
      <vt:variant>
        <vt:i4>104</vt:i4>
      </vt:variant>
      <vt:variant>
        <vt:i4>0</vt:i4>
      </vt:variant>
      <vt:variant>
        <vt:i4>5</vt:i4>
      </vt:variant>
      <vt:variant>
        <vt:lpwstr/>
      </vt:variant>
      <vt:variant>
        <vt:lpwstr>_Toc165988468</vt:lpwstr>
      </vt:variant>
      <vt:variant>
        <vt:i4>1441848</vt:i4>
      </vt:variant>
      <vt:variant>
        <vt:i4>98</vt:i4>
      </vt:variant>
      <vt:variant>
        <vt:i4>0</vt:i4>
      </vt:variant>
      <vt:variant>
        <vt:i4>5</vt:i4>
      </vt:variant>
      <vt:variant>
        <vt:lpwstr/>
      </vt:variant>
      <vt:variant>
        <vt:lpwstr>_Toc165988467</vt:lpwstr>
      </vt:variant>
      <vt:variant>
        <vt:i4>1441848</vt:i4>
      </vt:variant>
      <vt:variant>
        <vt:i4>92</vt:i4>
      </vt:variant>
      <vt:variant>
        <vt:i4>0</vt:i4>
      </vt:variant>
      <vt:variant>
        <vt:i4>5</vt:i4>
      </vt:variant>
      <vt:variant>
        <vt:lpwstr/>
      </vt:variant>
      <vt:variant>
        <vt:lpwstr>_Toc165988466</vt:lpwstr>
      </vt:variant>
      <vt:variant>
        <vt:i4>1441848</vt:i4>
      </vt:variant>
      <vt:variant>
        <vt:i4>86</vt:i4>
      </vt:variant>
      <vt:variant>
        <vt:i4>0</vt:i4>
      </vt:variant>
      <vt:variant>
        <vt:i4>5</vt:i4>
      </vt:variant>
      <vt:variant>
        <vt:lpwstr/>
      </vt:variant>
      <vt:variant>
        <vt:lpwstr>_Toc165988465</vt:lpwstr>
      </vt:variant>
      <vt:variant>
        <vt:i4>1441848</vt:i4>
      </vt:variant>
      <vt:variant>
        <vt:i4>80</vt:i4>
      </vt:variant>
      <vt:variant>
        <vt:i4>0</vt:i4>
      </vt:variant>
      <vt:variant>
        <vt:i4>5</vt:i4>
      </vt:variant>
      <vt:variant>
        <vt:lpwstr/>
      </vt:variant>
      <vt:variant>
        <vt:lpwstr>_Toc165988464</vt:lpwstr>
      </vt:variant>
      <vt:variant>
        <vt:i4>1441848</vt:i4>
      </vt:variant>
      <vt:variant>
        <vt:i4>74</vt:i4>
      </vt:variant>
      <vt:variant>
        <vt:i4>0</vt:i4>
      </vt:variant>
      <vt:variant>
        <vt:i4>5</vt:i4>
      </vt:variant>
      <vt:variant>
        <vt:lpwstr/>
      </vt:variant>
      <vt:variant>
        <vt:lpwstr>_Toc165988463</vt:lpwstr>
      </vt:variant>
      <vt:variant>
        <vt:i4>1441848</vt:i4>
      </vt:variant>
      <vt:variant>
        <vt:i4>68</vt:i4>
      </vt:variant>
      <vt:variant>
        <vt:i4>0</vt:i4>
      </vt:variant>
      <vt:variant>
        <vt:i4>5</vt:i4>
      </vt:variant>
      <vt:variant>
        <vt:lpwstr/>
      </vt:variant>
      <vt:variant>
        <vt:lpwstr>_Toc165988462</vt:lpwstr>
      </vt:variant>
      <vt:variant>
        <vt:i4>1441848</vt:i4>
      </vt:variant>
      <vt:variant>
        <vt:i4>62</vt:i4>
      </vt:variant>
      <vt:variant>
        <vt:i4>0</vt:i4>
      </vt:variant>
      <vt:variant>
        <vt:i4>5</vt:i4>
      </vt:variant>
      <vt:variant>
        <vt:lpwstr/>
      </vt:variant>
      <vt:variant>
        <vt:lpwstr>_Toc165988461</vt:lpwstr>
      </vt:variant>
      <vt:variant>
        <vt:i4>1441848</vt:i4>
      </vt:variant>
      <vt:variant>
        <vt:i4>56</vt:i4>
      </vt:variant>
      <vt:variant>
        <vt:i4>0</vt:i4>
      </vt:variant>
      <vt:variant>
        <vt:i4>5</vt:i4>
      </vt:variant>
      <vt:variant>
        <vt:lpwstr/>
      </vt:variant>
      <vt:variant>
        <vt:lpwstr>_Toc165988460</vt:lpwstr>
      </vt:variant>
      <vt:variant>
        <vt:i4>1376312</vt:i4>
      </vt:variant>
      <vt:variant>
        <vt:i4>50</vt:i4>
      </vt:variant>
      <vt:variant>
        <vt:i4>0</vt:i4>
      </vt:variant>
      <vt:variant>
        <vt:i4>5</vt:i4>
      </vt:variant>
      <vt:variant>
        <vt:lpwstr/>
      </vt:variant>
      <vt:variant>
        <vt:lpwstr>_Toc165988459</vt:lpwstr>
      </vt:variant>
      <vt:variant>
        <vt:i4>1376312</vt:i4>
      </vt:variant>
      <vt:variant>
        <vt:i4>44</vt:i4>
      </vt:variant>
      <vt:variant>
        <vt:i4>0</vt:i4>
      </vt:variant>
      <vt:variant>
        <vt:i4>5</vt:i4>
      </vt:variant>
      <vt:variant>
        <vt:lpwstr/>
      </vt:variant>
      <vt:variant>
        <vt:lpwstr>_Toc165988458</vt:lpwstr>
      </vt:variant>
      <vt:variant>
        <vt:i4>1376312</vt:i4>
      </vt:variant>
      <vt:variant>
        <vt:i4>38</vt:i4>
      </vt:variant>
      <vt:variant>
        <vt:i4>0</vt:i4>
      </vt:variant>
      <vt:variant>
        <vt:i4>5</vt:i4>
      </vt:variant>
      <vt:variant>
        <vt:lpwstr/>
      </vt:variant>
      <vt:variant>
        <vt:lpwstr>_Toc165988457</vt:lpwstr>
      </vt:variant>
      <vt:variant>
        <vt:i4>1376312</vt:i4>
      </vt:variant>
      <vt:variant>
        <vt:i4>32</vt:i4>
      </vt:variant>
      <vt:variant>
        <vt:i4>0</vt:i4>
      </vt:variant>
      <vt:variant>
        <vt:i4>5</vt:i4>
      </vt:variant>
      <vt:variant>
        <vt:lpwstr/>
      </vt:variant>
      <vt:variant>
        <vt:lpwstr>_Toc165988456</vt:lpwstr>
      </vt:variant>
      <vt:variant>
        <vt:i4>1376312</vt:i4>
      </vt:variant>
      <vt:variant>
        <vt:i4>26</vt:i4>
      </vt:variant>
      <vt:variant>
        <vt:i4>0</vt:i4>
      </vt:variant>
      <vt:variant>
        <vt:i4>5</vt:i4>
      </vt:variant>
      <vt:variant>
        <vt:lpwstr/>
      </vt:variant>
      <vt:variant>
        <vt:lpwstr>_Toc165988455</vt:lpwstr>
      </vt:variant>
      <vt:variant>
        <vt:i4>1376312</vt:i4>
      </vt:variant>
      <vt:variant>
        <vt:i4>20</vt:i4>
      </vt:variant>
      <vt:variant>
        <vt:i4>0</vt:i4>
      </vt:variant>
      <vt:variant>
        <vt:i4>5</vt:i4>
      </vt:variant>
      <vt:variant>
        <vt:lpwstr/>
      </vt:variant>
      <vt:variant>
        <vt:lpwstr>_Toc165988454</vt:lpwstr>
      </vt:variant>
      <vt:variant>
        <vt:i4>1376312</vt:i4>
      </vt:variant>
      <vt:variant>
        <vt:i4>14</vt:i4>
      </vt:variant>
      <vt:variant>
        <vt:i4>0</vt:i4>
      </vt:variant>
      <vt:variant>
        <vt:i4>5</vt:i4>
      </vt:variant>
      <vt:variant>
        <vt:lpwstr/>
      </vt:variant>
      <vt:variant>
        <vt:lpwstr>_Toc165988453</vt:lpwstr>
      </vt:variant>
      <vt:variant>
        <vt:i4>1376312</vt:i4>
      </vt:variant>
      <vt:variant>
        <vt:i4>8</vt:i4>
      </vt:variant>
      <vt:variant>
        <vt:i4>0</vt:i4>
      </vt:variant>
      <vt:variant>
        <vt:i4>5</vt:i4>
      </vt:variant>
      <vt:variant>
        <vt:lpwstr/>
      </vt:variant>
      <vt:variant>
        <vt:lpwstr>_Toc165988452</vt:lpwstr>
      </vt:variant>
      <vt:variant>
        <vt:i4>1376312</vt:i4>
      </vt:variant>
      <vt:variant>
        <vt:i4>2</vt:i4>
      </vt:variant>
      <vt:variant>
        <vt:i4>0</vt:i4>
      </vt:variant>
      <vt:variant>
        <vt:i4>5</vt:i4>
      </vt:variant>
      <vt:variant>
        <vt:lpwstr/>
      </vt:variant>
      <vt:variant>
        <vt:lpwstr>_Toc165988451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Procedure Document</dc:title>
  <dc:subject/>
  <dc:creator>Francesca Harries</dc:creator>
  <cp:keywords/>
  <dc:description/>
  <cp:lastModifiedBy>Ceri Ralph (Pembroke Dock - Argyle Medical Group)</cp:lastModifiedBy>
  <cp:revision>3</cp:revision>
  <dcterms:created xsi:type="dcterms:W3CDTF">2026-03-11T14:06:00Z</dcterms:created>
  <dcterms:modified xsi:type="dcterms:W3CDTF">2026-03-11T14:07:00Z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TriggerFlowInfo">
    <vt:lpwstr/>
  </property>
  <property fmtid="{D5CDD505-2E9C-101B-9397-08002B2CF9AE}" pid="8" name="Order">
    <vt:r8>560500</vt:r8>
  </property>
  <property fmtid="{D5CDD505-2E9C-101B-9397-08002B2CF9AE}" pid="9" name="MediaServiceImageTags">
    <vt:lpwstr/>
  </property>
  <property fmtid="{D5CDD505-2E9C-101B-9397-08002B2CF9AE}" pid="10" name="_ExtendedDescription">
    <vt:lpwstr/>
  </property>
  <property fmtid="{D5CDD505-2E9C-101B-9397-08002B2CF9AE}" pid="11" name="DocumentSummary">
    <vt:lpwstr>Summary here
</vt:lpwstr>
  </property>
</Properties>
</file>